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C6" w:rsidRPr="00570A7F" w:rsidRDefault="00C720C6">
      <w:pPr>
        <w:rPr>
          <w:b/>
        </w:rPr>
      </w:pPr>
      <w:bookmarkStart w:id="0" w:name="_GoBack"/>
      <w:bookmarkEnd w:id="0"/>
    </w:p>
    <w:p w:rsidR="00C720C6" w:rsidRPr="00570A7F" w:rsidRDefault="00C720C6">
      <w:pPr>
        <w:rPr>
          <w:b/>
        </w:rPr>
      </w:pPr>
    </w:p>
    <w:p w:rsidR="00AD0344" w:rsidRPr="00570A7F" w:rsidRDefault="00AD0344">
      <w:r w:rsidRPr="00570A7F">
        <w:rPr>
          <w:b/>
        </w:rPr>
        <w:t>MEMORANDUM FOR:</w:t>
      </w:r>
      <w:r w:rsidRPr="00570A7F">
        <w:t xml:space="preserve"> </w:t>
      </w:r>
      <w:r w:rsidRPr="00570A7F">
        <w:tab/>
      </w:r>
      <w:r w:rsidR="00F76D80" w:rsidRPr="00570A7F">
        <w:t>The Record</w:t>
      </w:r>
    </w:p>
    <w:p w:rsidR="00AD0344" w:rsidRPr="00570A7F" w:rsidRDefault="00AD0344"/>
    <w:p w:rsidR="00AD0344" w:rsidRPr="00570A7F" w:rsidRDefault="00AD0344">
      <w:r w:rsidRPr="00570A7F">
        <w:rPr>
          <w:b/>
        </w:rPr>
        <w:t xml:space="preserve">FROM: </w:t>
      </w:r>
      <w:r w:rsidRPr="00570A7F">
        <w:rPr>
          <w:b/>
        </w:rPr>
        <w:tab/>
      </w:r>
      <w:r w:rsidRPr="00570A7F">
        <w:tab/>
      </w:r>
      <w:r w:rsidRPr="00570A7F">
        <w:tab/>
      </w:r>
      <w:r w:rsidR="00964537">
        <w:t>Dr. Fuzhong Weng</w:t>
      </w:r>
      <w:r w:rsidRPr="00570A7F">
        <w:t xml:space="preserve">, </w:t>
      </w:r>
      <w:r w:rsidR="007C255F">
        <w:t xml:space="preserve">JPSS </w:t>
      </w:r>
      <w:r w:rsidR="00823B28">
        <w:t>ATMS</w:t>
      </w:r>
      <w:r w:rsidRPr="00570A7F">
        <w:t xml:space="preserve"> SDR Tea</w:t>
      </w:r>
      <w:r w:rsidR="007C255F">
        <w:t>m</w:t>
      </w:r>
      <w:r w:rsidR="00964537">
        <w:t xml:space="preserve"> Lead</w:t>
      </w:r>
    </w:p>
    <w:p w:rsidR="00405B62" w:rsidRDefault="00037ADD">
      <w:r w:rsidRPr="00570A7F">
        <w:tab/>
      </w:r>
      <w:r w:rsidRPr="00570A7F">
        <w:tab/>
      </w:r>
      <w:r w:rsidRPr="00570A7F">
        <w:tab/>
      </w:r>
    </w:p>
    <w:p w:rsidR="00AD0344" w:rsidRPr="00570A7F" w:rsidRDefault="00BC0A8A">
      <w:pPr>
        <w:rPr>
          <w:b/>
        </w:rPr>
      </w:pPr>
      <w:r w:rsidRPr="00570A7F">
        <w:tab/>
      </w:r>
      <w:r w:rsidRPr="00570A7F">
        <w:tab/>
      </w:r>
      <w:r w:rsidRPr="00570A7F">
        <w:tab/>
      </w:r>
      <w:r w:rsidRPr="00570A7F">
        <w:tab/>
      </w:r>
    </w:p>
    <w:p w:rsidR="00AD0344" w:rsidRPr="00570A7F" w:rsidRDefault="00AD0344">
      <w:r w:rsidRPr="00570A7F">
        <w:rPr>
          <w:b/>
        </w:rPr>
        <w:t>SUBJECT:</w:t>
      </w:r>
      <w:r w:rsidRPr="00570A7F">
        <w:tab/>
      </w:r>
      <w:r w:rsidRPr="00570A7F">
        <w:tab/>
      </w:r>
      <w:r w:rsidRPr="00570A7F">
        <w:tab/>
      </w:r>
      <w:r w:rsidR="00386455">
        <w:t>S-</w:t>
      </w:r>
      <w:r w:rsidR="00F76D80" w:rsidRPr="00570A7F">
        <w:t xml:space="preserve">NPP </w:t>
      </w:r>
      <w:r w:rsidR="0061467C">
        <w:t>ATMS</w:t>
      </w:r>
      <w:r w:rsidR="004B1687" w:rsidRPr="00570A7F">
        <w:t xml:space="preserve"> SDR </w:t>
      </w:r>
      <w:r w:rsidR="000D439F">
        <w:t>Validated</w:t>
      </w:r>
      <w:r w:rsidR="00F76D80" w:rsidRPr="00570A7F">
        <w:t xml:space="preserve"> status and public release</w:t>
      </w:r>
    </w:p>
    <w:p w:rsidR="00AD0344" w:rsidRPr="00570A7F" w:rsidRDefault="00AD0344">
      <w:pPr>
        <w:rPr>
          <w:b/>
        </w:rPr>
      </w:pPr>
    </w:p>
    <w:p w:rsidR="00AD0344" w:rsidRPr="00570A7F" w:rsidRDefault="00AD0344">
      <w:r w:rsidRPr="00570A7F">
        <w:rPr>
          <w:b/>
        </w:rPr>
        <w:t xml:space="preserve">DATE: </w:t>
      </w:r>
      <w:r w:rsidRPr="00570A7F">
        <w:rPr>
          <w:b/>
        </w:rPr>
        <w:tab/>
      </w:r>
      <w:r w:rsidR="00BC0A8A" w:rsidRPr="00570A7F">
        <w:tab/>
      </w:r>
      <w:r w:rsidR="00BC0A8A" w:rsidRPr="00570A7F">
        <w:tab/>
      </w:r>
      <w:r w:rsidR="00D97C52">
        <w:t>1</w:t>
      </w:r>
      <w:r w:rsidR="00BC0A8A" w:rsidRPr="00570A7F">
        <w:t>/</w:t>
      </w:r>
      <w:r w:rsidR="00D97C52">
        <w:t>7</w:t>
      </w:r>
      <w:r w:rsidRPr="00570A7F">
        <w:t>/201</w:t>
      </w:r>
      <w:r w:rsidR="00D97C52">
        <w:t>4</w:t>
      </w:r>
    </w:p>
    <w:p w:rsidR="00612A8F" w:rsidRDefault="00612A8F" w:rsidP="00386455">
      <w:pPr>
        <w:rPr>
          <w:b/>
        </w:rPr>
      </w:pPr>
    </w:p>
    <w:p w:rsidR="00612A8F" w:rsidRDefault="00386455" w:rsidP="00386455">
      <w:pPr>
        <w:rPr>
          <w:b/>
        </w:rPr>
      </w:pPr>
      <w:r w:rsidRPr="00386455">
        <w:rPr>
          <w:b/>
        </w:rPr>
        <w:t>Validated status declaration for S-NPP ATMS SDR and TDR</w:t>
      </w:r>
    </w:p>
    <w:p w:rsidR="00612A8F" w:rsidRDefault="00612A8F" w:rsidP="00386455">
      <w:pPr>
        <w:rPr>
          <w:b/>
        </w:rPr>
      </w:pPr>
      <w:r>
        <w:rPr>
          <w:b/>
        </w:rPr>
        <w:t xml:space="preserve">Effective </w:t>
      </w:r>
      <w:r w:rsidR="00552B1B">
        <w:rPr>
          <w:b/>
        </w:rPr>
        <w:t xml:space="preserve">IDPS </w:t>
      </w:r>
      <w:r>
        <w:rPr>
          <w:b/>
        </w:rPr>
        <w:t>Build: Mx 8.3</w:t>
      </w:r>
    </w:p>
    <w:p w:rsidR="00612A8F" w:rsidRPr="00386455" w:rsidRDefault="00612A8F" w:rsidP="00386455">
      <w:pPr>
        <w:rPr>
          <w:b/>
        </w:rPr>
      </w:pPr>
      <w:r>
        <w:rPr>
          <w:b/>
        </w:rPr>
        <w:t>Collection Short Names: ATMS-TDR and ATMS-SDR</w:t>
      </w:r>
    </w:p>
    <w:p w:rsidR="00113DEB" w:rsidRPr="00570A7F" w:rsidRDefault="00113DEB" w:rsidP="00113DEB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b/>
        </w:rPr>
      </w:pPr>
      <w:r w:rsidRPr="00570A7F">
        <w:rPr>
          <w:b/>
        </w:rPr>
        <w:t>Background</w:t>
      </w:r>
    </w:p>
    <w:p w:rsidR="00053176" w:rsidRDefault="00053176" w:rsidP="00EE370F">
      <w:pPr>
        <w:spacing w:before="100" w:beforeAutospacing="1" w:after="100" w:afterAutospacing="1"/>
        <w:ind w:firstLine="360"/>
        <w:jc w:val="both"/>
      </w:pPr>
      <w:r w:rsidRPr="00570A7F">
        <w:t>The successful launch of the Suomi</w:t>
      </w:r>
      <w:r w:rsidR="00CD0857" w:rsidRPr="00570A7F">
        <w:t xml:space="preserve"> National Partnership Program (NPP) s</w:t>
      </w:r>
      <w:r w:rsidRPr="00570A7F">
        <w:t xml:space="preserve">pacecraft </w:t>
      </w:r>
      <w:r w:rsidR="00F34CDB" w:rsidRPr="00570A7F">
        <w:t xml:space="preserve">on Oct. 28, 2011 </w:t>
      </w:r>
      <w:r w:rsidRPr="00570A7F">
        <w:t xml:space="preserve">with the </w:t>
      </w:r>
      <w:r w:rsidR="00F118DA">
        <w:t>Adv</w:t>
      </w:r>
      <w:r w:rsidR="00D4051F">
        <w:t>anced Technology Microwave Sounder</w:t>
      </w:r>
      <w:r w:rsidRPr="00570A7F">
        <w:t xml:space="preserve"> (</w:t>
      </w:r>
      <w:r w:rsidR="00F118DA">
        <w:t>ATMS</w:t>
      </w:r>
      <w:r w:rsidRPr="00570A7F">
        <w:t>) ushers in a new generation of capabilities for operational environmental remote sensing for weather, climate, and ot</w:t>
      </w:r>
      <w:r w:rsidR="005D29CB">
        <w:t>her environmental applications.</w:t>
      </w:r>
      <w:r w:rsidRPr="00570A7F">
        <w:t xml:space="preserve"> </w:t>
      </w:r>
      <w:r w:rsidR="00E338CA" w:rsidRPr="00570A7F">
        <w:rPr>
          <w:lang w:eastAsia="ko-KR"/>
        </w:rPr>
        <w:t xml:space="preserve">The </w:t>
      </w:r>
      <w:r w:rsidR="00D4051F">
        <w:rPr>
          <w:lang w:eastAsia="ko-KR"/>
        </w:rPr>
        <w:t>ATMS</w:t>
      </w:r>
      <w:r w:rsidR="00E338CA" w:rsidRPr="00570A7F">
        <w:rPr>
          <w:lang w:eastAsia="ko-KR"/>
        </w:rPr>
        <w:t xml:space="preserve"> </w:t>
      </w:r>
      <w:r w:rsidR="00E419B4" w:rsidRPr="00570A7F">
        <w:t>Sensor Data Record</w:t>
      </w:r>
      <w:r w:rsidR="00E419B4" w:rsidRPr="00570A7F">
        <w:rPr>
          <w:lang w:eastAsia="ko-KR"/>
        </w:rPr>
        <w:t xml:space="preserve"> (</w:t>
      </w:r>
      <w:r w:rsidR="00E338CA" w:rsidRPr="00570A7F">
        <w:rPr>
          <w:lang w:eastAsia="ko-KR"/>
        </w:rPr>
        <w:t>SDR</w:t>
      </w:r>
      <w:r w:rsidR="00E419B4" w:rsidRPr="00570A7F">
        <w:rPr>
          <w:lang w:eastAsia="ko-KR"/>
        </w:rPr>
        <w:t>)</w:t>
      </w:r>
      <w:r w:rsidR="00E338CA" w:rsidRPr="00570A7F">
        <w:rPr>
          <w:lang w:eastAsia="ko-KR"/>
        </w:rPr>
        <w:t xml:space="preserve"> product</w:t>
      </w:r>
      <w:r w:rsidR="002A4B4B" w:rsidRPr="00570A7F">
        <w:rPr>
          <w:lang w:eastAsia="ko-KR"/>
        </w:rPr>
        <w:t xml:space="preserve"> </w:t>
      </w:r>
      <w:r w:rsidR="00137FA4">
        <w:rPr>
          <w:lang w:eastAsia="ko-KR"/>
        </w:rPr>
        <w:t>has been</w:t>
      </w:r>
      <w:r w:rsidR="002A4B4B" w:rsidRPr="00570A7F">
        <w:rPr>
          <w:lang w:eastAsia="ko-KR"/>
        </w:rPr>
        <w:t xml:space="preserve"> assimilated by the NWP models to improve weather forecast</w:t>
      </w:r>
      <w:r w:rsidR="00E77C09">
        <w:rPr>
          <w:lang w:eastAsia="ko-KR"/>
        </w:rPr>
        <w:t>s,</w:t>
      </w:r>
      <w:r w:rsidR="002A4B4B" w:rsidRPr="00570A7F">
        <w:rPr>
          <w:lang w:eastAsia="ko-KR"/>
        </w:rPr>
        <w:t xml:space="preserve"> and </w:t>
      </w:r>
      <w:r w:rsidR="00E77C09">
        <w:rPr>
          <w:lang w:eastAsia="ko-KR"/>
        </w:rPr>
        <w:t xml:space="preserve">is </w:t>
      </w:r>
      <w:r w:rsidR="00DE61BB" w:rsidRPr="00570A7F">
        <w:rPr>
          <w:lang w:eastAsia="ko-KR"/>
        </w:rPr>
        <w:t xml:space="preserve">used by </w:t>
      </w:r>
      <w:r w:rsidR="00135286" w:rsidRPr="00570A7F">
        <w:rPr>
          <w:lang w:eastAsia="ko-KR"/>
        </w:rPr>
        <w:t xml:space="preserve">the </w:t>
      </w:r>
      <w:r w:rsidR="00E77C09">
        <w:rPr>
          <w:lang w:eastAsia="ko-KR"/>
        </w:rPr>
        <w:t>Cross-Track Infrared</w:t>
      </w:r>
      <w:r w:rsidR="00E77C09" w:rsidRPr="00570A7F">
        <w:rPr>
          <w:lang w:eastAsia="ko-KR"/>
        </w:rPr>
        <w:t xml:space="preserve"> </w:t>
      </w:r>
      <w:r w:rsidR="00135286" w:rsidRPr="00570A7F">
        <w:rPr>
          <w:lang w:eastAsia="ko-KR"/>
        </w:rPr>
        <w:t xml:space="preserve">and Microwave Sounder Suite (CrIMSS) </w:t>
      </w:r>
      <w:r w:rsidR="00DE61BB" w:rsidRPr="00570A7F">
        <w:rPr>
          <w:lang w:eastAsia="ko-KR"/>
        </w:rPr>
        <w:t xml:space="preserve">algorithm </w:t>
      </w:r>
      <w:r w:rsidR="00135286" w:rsidRPr="00570A7F">
        <w:rPr>
          <w:lang w:eastAsia="ko-KR"/>
        </w:rPr>
        <w:t xml:space="preserve">to produce </w:t>
      </w:r>
      <w:r w:rsidR="00E77C09">
        <w:rPr>
          <w:lang w:eastAsia="ko-KR"/>
        </w:rPr>
        <w:t>its</w:t>
      </w:r>
      <w:r w:rsidR="00E77C09" w:rsidRPr="00570A7F">
        <w:rPr>
          <w:lang w:eastAsia="ko-KR"/>
        </w:rPr>
        <w:t xml:space="preserve"> </w:t>
      </w:r>
      <w:r w:rsidR="00135286" w:rsidRPr="00570A7F">
        <w:rPr>
          <w:lang w:eastAsia="ko-KR"/>
        </w:rPr>
        <w:t>Environmental Data Record</w:t>
      </w:r>
      <w:r w:rsidR="009C18E5" w:rsidRPr="00570A7F">
        <w:rPr>
          <w:lang w:eastAsia="ko-KR"/>
        </w:rPr>
        <w:t>s</w:t>
      </w:r>
      <w:r w:rsidR="00135286" w:rsidRPr="00570A7F">
        <w:rPr>
          <w:lang w:eastAsia="ko-KR"/>
        </w:rPr>
        <w:t xml:space="preserve"> (EDR</w:t>
      </w:r>
      <w:r w:rsidR="009C18E5" w:rsidRPr="00570A7F">
        <w:rPr>
          <w:lang w:eastAsia="ko-KR"/>
        </w:rPr>
        <w:t>s</w:t>
      </w:r>
      <w:r w:rsidR="002A4B4B" w:rsidRPr="00570A7F">
        <w:rPr>
          <w:lang w:eastAsia="ko-KR"/>
        </w:rPr>
        <w:t>).</w:t>
      </w:r>
      <w:r w:rsidR="00C57547" w:rsidRPr="00570A7F">
        <w:rPr>
          <w:lang w:eastAsia="ko-KR"/>
        </w:rPr>
        <w:t xml:space="preserve">  </w:t>
      </w:r>
      <w:r w:rsidR="000E15DE">
        <w:t xml:space="preserve">The </w:t>
      </w:r>
      <w:r w:rsidR="00800E46">
        <w:t>ATMS</w:t>
      </w:r>
      <w:r w:rsidR="000E15DE">
        <w:t xml:space="preserve"> SDR team consists of</w:t>
      </w:r>
      <w:r w:rsidR="002C0AA8">
        <w:t xml:space="preserve"> experts from NOAA, NASA,</w:t>
      </w:r>
      <w:r w:rsidR="00C57547" w:rsidRPr="00570A7F">
        <w:t xml:space="preserve"> </w:t>
      </w:r>
      <w:r w:rsidR="002C0AA8" w:rsidRPr="00570A7F">
        <w:t>MIT</w:t>
      </w:r>
      <w:r w:rsidR="003418E1">
        <w:t xml:space="preserve"> </w:t>
      </w:r>
      <w:r w:rsidR="002C0AA8" w:rsidRPr="00570A7F">
        <w:t xml:space="preserve">Lincoln </w:t>
      </w:r>
      <w:r w:rsidR="003418E1">
        <w:t>L</w:t>
      </w:r>
      <w:r w:rsidR="002C0AA8" w:rsidRPr="00570A7F">
        <w:t>ab</w:t>
      </w:r>
      <w:r w:rsidR="003418E1">
        <w:t>oratory</w:t>
      </w:r>
      <w:r w:rsidR="002C0AA8" w:rsidRPr="00570A7F">
        <w:t xml:space="preserve">, </w:t>
      </w:r>
      <w:r w:rsidR="00C57547" w:rsidRPr="00570A7F">
        <w:t>Space Dynamic Laboratory (SDL), and industry partners Northrop Grumman and Raytheon</w:t>
      </w:r>
      <w:r w:rsidR="00E413E0">
        <w:t>.</w:t>
      </w:r>
      <w:r w:rsidR="005D29CB">
        <w:t xml:space="preserve"> </w:t>
      </w:r>
      <w:r w:rsidR="000E15DE">
        <w:t>The team has</w:t>
      </w:r>
      <w:r w:rsidR="00C57547" w:rsidRPr="00570A7F">
        <w:t xml:space="preserve"> </w:t>
      </w:r>
      <w:r w:rsidR="00E77C09">
        <w:t>worked</w:t>
      </w:r>
      <w:r w:rsidR="00E77C09" w:rsidRPr="00570A7F">
        <w:t xml:space="preserve"> </w:t>
      </w:r>
      <w:r w:rsidR="00C57547" w:rsidRPr="00570A7F">
        <w:t xml:space="preserve">intensively for </w:t>
      </w:r>
      <w:r w:rsidR="00B3464F">
        <w:t xml:space="preserve">post-launch </w:t>
      </w:r>
      <w:r w:rsidR="00476D05" w:rsidRPr="00570A7F">
        <w:t xml:space="preserve">instrument performance optimization and </w:t>
      </w:r>
      <w:r w:rsidR="00912C6E">
        <w:t>ATMS</w:t>
      </w:r>
      <w:r w:rsidR="00DE61BB" w:rsidRPr="00570A7F">
        <w:t xml:space="preserve"> </w:t>
      </w:r>
      <w:r w:rsidR="00C57547" w:rsidRPr="00570A7F">
        <w:t xml:space="preserve">SDR </w:t>
      </w:r>
      <w:r w:rsidR="00B3464F">
        <w:t xml:space="preserve">pre- and post-launch </w:t>
      </w:r>
      <w:r w:rsidR="00C57547" w:rsidRPr="00570A7F">
        <w:t>calibration and validati</w:t>
      </w:r>
      <w:r w:rsidR="005E0C82" w:rsidRPr="00570A7F">
        <w:t>on</w:t>
      </w:r>
      <w:r w:rsidR="00C57547" w:rsidRPr="00570A7F">
        <w:t>.</w:t>
      </w:r>
    </w:p>
    <w:p w:rsidR="00FA79B6" w:rsidRDefault="00FA79B6" w:rsidP="0074545A">
      <w:pPr>
        <w:spacing w:before="100" w:beforeAutospacing="1" w:after="100" w:afterAutospacing="1"/>
        <w:ind w:firstLine="360"/>
        <w:jc w:val="both"/>
      </w:pPr>
      <w:r>
        <w:t xml:space="preserve">The Suomi-NPP SDR </w:t>
      </w:r>
      <w:r w:rsidR="00881B69">
        <w:t>Validated</w:t>
      </w:r>
      <w:r>
        <w:t xml:space="preserve"> Status Review was hel</w:t>
      </w:r>
      <w:r w:rsidR="003418E1">
        <w:t>d</w:t>
      </w:r>
      <w:r>
        <w:t xml:space="preserve"> on </w:t>
      </w:r>
      <w:r w:rsidR="00881B69">
        <w:t>December 18-20, 2013</w:t>
      </w:r>
      <w:r>
        <w:t xml:space="preserve"> at the NOAA Center for Weather and Climate Prediction (NCWCP) in College Park, Maryland, hosted by NOAA/NESDIS</w:t>
      </w:r>
      <w:r w:rsidR="007727E9">
        <w:t>/STAR.</w:t>
      </w:r>
      <w:r w:rsidR="004F3977" w:rsidRPr="004F3977">
        <w:rPr>
          <w:rFonts w:eastAsia="Times New Roman"/>
          <w:color w:val="000000"/>
          <w:szCs w:val="20"/>
          <w:lang w:eastAsia="zh-CN"/>
        </w:rPr>
        <w:t xml:space="preserve"> </w:t>
      </w:r>
      <w:r w:rsidR="004F3977" w:rsidRPr="00570A7F">
        <w:rPr>
          <w:rFonts w:eastAsia="Times New Roman"/>
          <w:color w:val="000000"/>
          <w:szCs w:val="20"/>
          <w:lang w:eastAsia="zh-CN"/>
        </w:rPr>
        <w:t>The purpose of th</w:t>
      </w:r>
      <w:r w:rsidR="00E77C09">
        <w:rPr>
          <w:rFonts w:eastAsia="Times New Roman"/>
          <w:color w:val="000000"/>
          <w:szCs w:val="20"/>
          <w:lang w:eastAsia="zh-CN"/>
        </w:rPr>
        <w:t>e</w:t>
      </w:r>
      <w:r w:rsidR="004F3977" w:rsidRPr="00570A7F">
        <w:rPr>
          <w:rFonts w:eastAsia="Times New Roman"/>
          <w:color w:val="000000"/>
          <w:szCs w:val="20"/>
          <w:lang w:eastAsia="zh-CN"/>
        </w:rPr>
        <w:t xml:space="preserve"> meeting was to assess the readiness of the </w:t>
      </w:r>
      <w:r w:rsidR="004F3977">
        <w:rPr>
          <w:rFonts w:eastAsia="Times New Roman"/>
          <w:color w:val="000000"/>
          <w:szCs w:val="20"/>
          <w:lang w:eastAsia="zh-CN"/>
        </w:rPr>
        <w:t xml:space="preserve">ATMS </w:t>
      </w:r>
      <w:r w:rsidR="004F3977" w:rsidRPr="00570A7F">
        <w:rPr>
          <w:rFonts w:eastAsia="Times New Roman"/>
          <w:color w:val="000000"/>
          <w:szCs w:val="20"/>
          <w:lang w:eastAsia="zh-CN"/>
        </w:rPr>
        <w:t>SDR data product maturity level to be declared “</w:t>
      </w:r>
      <w:r w:rsidR="00D870BF">
        <w:rPr>
          <w:rFonts w:eastAsia="Times New Roman"/>
          <w:color w:val="000000"/>
          <w:szCs w:val="20"/>
          <w:lang w:eastAsia="zh-CN"/>
        </w:rPr>
        <w:t>Validated</w:t>
      </w:r>
      <w:r w:rsidR="004F3977" w:rsidRPr="00570A7F">
        <w:rPr>
          <w:rFonts w:eastAsia="Times New Roman"/>
          <w:color w:val="000000"/>
          <w:szCs w:val="20"/>
          <w:lang w:eastAsia="zh-CN"/>
        </w:rPr>
        <w:t>” by the Algorithm Executive Review Board (AERB).</w:t>
      </w:r>
    </w:p>
    <w:p w:rsidR="007727E9" w:rsidRPr="00570A7F" w:rsidRDefault="006E0929" w:rsidP="0074545A">
      <w:pPr>
        <w:spacing w:before="100" w:beforeAutospacing="1" w:after="100" w:afterAutospacing="1"/>
        <w:ind w:firstLine="360"/>
        <w:jc w:val="both"/>
        <w:rPr>
          <w:lang w:eastAsia="ko-KR"/>
        </w:rPr>
      </w:pPr>
      <w:r>
        <w:t xml:space="preserve">ATMS SDR team members presented current </w:t>
      </w:r>
      <w:r w:rsidR="00716FB0">
        <w:t>Cal/Val</w:t>
      </w:r>
      <w:r w:rsidR="008F3030">
        <w:t xml:space="preserve"> progress since </w:t>
      </w:r>
      <w:r w:rsidR="00F73E12">
        <w:t>provisional maturity</w:t>
      </w:r>
      <w:r w:rsidR="008F3030">
        <w:t>.</w:t>
      </w:r>
      <w:r w:rsidR="00F4534A">
        <w:t xml:space="preserve"> </w:t>
      </w:r>
      <w:r>
        <w:t xml:space="preserve">Data assimilation users from </w:t>
      </w:r>
      <w:r w:rsidR="00A2197A">
        <w:t xml:space="preserve">different </w:t>
      </w:r>
      <w:r>
        <w:t>Numerical Weather Prediction (NWP) centers, including NOAA</w:t>
      </w:r>
      <w:r w:rsidR="00316155">
        <w:t xml:space="preserve"> National Centers for Environmental Prediction (NCEP)</w:t>
      </w:r>
      <w:r>
        <w:t>,</w:t>
      </w:r>
      <w:r w:rsidR="00316155">
        <w:t xml:space="preserve"> UK</w:t>
      </w:r>
      <w:r w:rsidR="008A2B68">
        <w:t xml:space="preserve"> MetOffice, </w:t>
      </w:r>
      <w:r w:rsidR="00316155">
        <w:t>European Centre for Medium-Range Weather Forecasts (</w:t>
      </w:r>
      <w:r w:rsidR="008A2B68">
        <w:t>ECMWF</w:t>
      </w:r>
      <w:r w:rsidR="00316155">
        <w:t>)</w:t>
      </w:r>
      <w:r w:rsidR="00125A55">
        <w:t>, and N</w:t>
      </w:r>
      <w:r w:rsidR="00316155">
        <w:t xml:space="preserve">aval </w:t>
      </w:r>
      <w:r w:rsidR="00125A55">
        <w:t>R</w:t>
      </w:r>
      <w:r w:rsidR="00316155">
        <w:t xml:space="preserve">esearch </w:t>
      </w:r>
      <w:r w:rsidR="00125A55">
        <w:t>L</w:t>
      </w:r>
      <w:r w:rsidR="00316155">
        <w:t>aboratory (NRL)</w:t>
      </w:r>
      <w:r w:rsidR="008A2B68">
        <w:t>,</w:t>
      </w:r>
      <w:r w:rsidR="007336A3">
        <w:t xml:space="preserve"> demonstrat</w:t>
      </w:r>
      <w:r w:rsidR="0061591A">
        <w:t xml:space="preserve">ed </w:t>
      </w:r>
      <w:r w:rsidR="00E77C09">
        <w:t xml:space="preserve">the </w:t>
      </w:r>
      <w:r w:rsidR="0061591A">
        <w:t xml:space="preserve">impact </w:t>
      </w:r>
      <w:r w:rsidR="00E77C09">
        <w:t>of</w:t>
      </w:r>
      <w:r w:rsidR="0061591A">
        <w:t xml:space="preserve"> assimilating ATMS data in the</w:t>
      </w:r>
      <w:r w:rsidR="00112F05">
        <w:t>ir</w:t>
      </w:r>
      <w:r w:rsidR="00B41C03">
        <w:t xml:space="preserve"> NWP models</w:t>
      </w:r>
      <w:r w:rsidR="0061591A">
        <w:t>.</w:t>
      </w:r>
      <w:r w:rsidR="0002360D">
        <w:t xml:space="preserve"> A total of 10</w:t>
      </w:r>
      <w:r w:rsidR="00A2378F">
        <w:t xml:space="preserve"> presentations related to ATMS SDR were made and are attached with th</w:t>
      </w:r>
      <w:r w:rsidR="00E77C09">
        <w:t>e</w:t>
      </w:r>
      <w:r w:rsidR="00A2378F">
        <w:t xml:space="preserve"> </w:t>
      </w:r>
      <w:r w:rsidR="00E77C09">
        <w:t xml:space="preserve">Validated-Maturity </w:t>
      </w:r>
      <w:r w:rsidR="00A2378F">
        <w:t xml:space="preserve">CCR package. </w:t>
      </w:r>
    </w:p>
    <w:p w:rsidR="00655E34" w:rsidRPr="00570A7F" w:rsidRDefault="00655E34" w:rsidP="0074545A">
      <w:pPr>
        <w:spacing w:before="100" w:beforeAutospacing="1" w:after="100" w:afterAutospacing="1"/>
        <w:jc w:val="both"/>
        <w:rPr>
          <w:b/>
        </w:rPr>
      </w:pPr>
      <w:r w:rsidRPr="00570A7F">
        <w:rPr>
          <w:b/>
        </w:rPr>
        <w:t xml:space="preserve">1.1 </w:t>
      </w:r>
      <w:r w:rsidR="00316155">
        <w:rPr>
          <w:b/>
        </w:rPr>
        <w:t>Provisional</w:t>
      </w:r>
      <w:r w:rsidRPr="00570A7F">
        <w:rPr>
          <w:b/>
        </w:rPr>
        <w:t xml:space="preserve"> </w:t>
      </w:r>
      <w:r w:rsidR="00964537">
        <w:rPr>
          <w:b/>
        </w:rPr>
        <w:t>P</w:t>
      </w:r>
      <w:r w:rsidRPr="00570A7F">
        <w:rPr>
          <w:b/>
        </w:rPr>
        <w:t>roduct</w:t>
      </w:r>
    </w:p>
    <w:p w:rsidR="00A65E22" w:rsidRDefault="001F79BD" w:rsidP="0074545A">
      <w:pPr>
        <w:spacing w:before="100" w:beforeAutospacing="1" w:after="100" w:afterAutospacing="1"/>
        <w:ind w:firstLine="360"/>
        <w:jc w:val="both"/>
      </w:pPr>
      <w:r>
        <w:lastRenderedPageBreak/>
        <w:t>ATMS</w:t>
      </w:r>
      <w:r w:rsidR="004B1687" w:rsidRPr="00570A7F">
        <w:t xml:space="preserve"> </w:t>
      </w:r>
      <w:r>
        <w:t>TDR</w:t>
      </w:r>
      <w:r w:rsidR="004B1687" w:rsidRPr="00570A7F">
        <w:t xml:space="preserve"> product was declared to have reached </w:t>
      </w:r>
      <w:r w:rsidR="000F26D5">
        <w:t xml:space="preserve">Provisional maturity on </w:t>
      </w:r>
      <w:r w:rsidR="004679CE">
        <w:t>February 6</w:t>
      </w:r>
      <w:r w:rsidR="000F26D5" w:rsidRPr="000F26D5">
        <w:rPr>
          <w:vertAlign w:val="superscript"/>
        </w:rPr>
        <w:t>th</w:t>
      </w:r>
      <w:r w:rsidR="004679CE">
        <w:t>, 2013</w:t>
      </w:r>
      <w:r w:rsidR="000F26D5">
        <w:t xml:space="preserve">, </w:t>
      </w:r>
      <w:r w:rsidR="001C38F4" w:rsidRPr="00570A7F">
        <w:t>following</w:t>
      </w:r>
      <w:r w:rsidR="004B1687" w:rsidRPr="00570A7F">
        <w:t xml:space="preserve"> </w:t>
      </w:r>
      <w:r w:rsidR="001C38F4" w:rsidRPr="00570A7F">
        <w:t>successful early CalVal work perfor</w:t>
      </w:r>
      <w:r w:rsidR="00AF74CF" w:rsidRPr="00570A7F">
        <w:t xml:space="preserve">med </w:t>
      </w:r>
      <w:r w:rsidR="001C38F4" w:rsidRPr="00570A7F">
        <w:t xml:space="preserve">by the team, including </w:t>
      </w:r>
      <w:r w:rsidR="00887641" w:rsidRPr="00570A7F">
        <w:t xml:space="preserve">updates of </w:t>
      </w:r>
      <w:r w:rsidR="00E77C09">
        <w:t xml:space="preserve">the </w:t>
      </w:r>
      <w:r w:rsidR="00887641" w:rsidRPr="00570A7F">
        <w:t>P</w:t>
      </w:r>
      <w:r>
        <w:t>CT table</w:t>
      </w:r>
      <w:r w:rsidR="002D6CAC">
        <w:t>, optimal space view sector selection</w:t>
      </w:r>
      <w:r w:rsidR="00887641" w:rsidRPr="00570A7F">
        <w:t xml:space="preserve">, and </w:t>
      </w:r>
      <w:r w:rsidR="00E77C09">
        <w:t xml:space="preserve">23 </w:t>
      </w:r>
      <w:r w:rsidR="00896BEA">
        <w:t>other  tasks by the team</w:t>
      </w:r>
      <w:r w:rsidR="00887641" w:rsidRPr="00570A7F">
        <w:t>.</w:t>
      </w:r>
      <w:r w:rsidR="004F06D5" w:rsidRPr="00570A7F">
        <w:t xml:space="preserve">  </w:t>
      </w:r>
      <w:r w:rsidR="000E15DE">
        <w:rPr>
          <w:lang w:eastAsia="en-US"/>
        </w:rPr>
        <w:t>A Readme file was provided to t</w:t>
      </w:r>
      <w:r w:rsidR="00A65E22" w:rsidRPr="00570A7F">
        <w:rPr>
          <w:lang w:eastAsia="en-US"/>
        </w:rPr>
        <w:t xml:space="preserve">he </w:t>
      </w:r>
      <w:r w:rsidR="00E23CBB">
        <w:rPr>
          <w:lang w:eastAsia="en-US"/>
        </w:rPr>
        <w:t xml:space="preserve">Provisional </w:t>
      </w:r>
      <w:r w:rsidR="00A65E22" w:rsidRPr="00570A7F">
        <w:rPr>
          <w:lang w:eastAsia="en-US"/>
        </w:rPr>
        <w:t xml:space="preserve">product users, which </w:t>
      </w:r>
      <w:r w:rsidR="004E2A13" w:rsidRPr="00570A7F">
        <w:rPr>
          <w:lang w:eastAsia="en-US"/>
        </w:rPr>
        <w:t>summarized the following product caveats</w:t>
      </w:r>
      <w:r w:rsidR="00A65E22" w:rsidRPr="00570A7F">
        <w:rPr>
          <w:lang w:eastAsia="en-US"/>
        </w:rPr>
        <w:t>:</w:t>
      </w:r>
    </w:p>
    <w:p w:rsidR="000E4014" w:rsidRPr="00570A7F" w:rsidRDefault="000E4014" w:rsidP="00A65E22">
      <w:pPr>
        <w:ind w:firstLine="360"/>
        <w:rPr>
          <w:lang w:eastAsia="en-US"/>
        </w:rPr>
      </w:pPr>
    </w:p>
    <w:p w:rsidR="003037C7" w:rsidRPr="00102BD4" w:rsidRDefault="00102BD4" w:rsidP="00102BD4">
      <w:pPr>
        <w:pStyle w:val="CM5"/>
        <w:numPr>
          <w:ilvl w:val="0"/>
          <w:numId w:val="27"/>
        </w:numPr>
        <w:spacing w:before="240" w:after="120"/>
        <w:ind w:left="720"/>
        <w:rPr>
          <w:rFonts w:ascii="Times New Roman" w:hAnsi="Times New Roman" w:cs="Times New Roman"/>
        </w:rPr>
      </w:pPr>
      <w:r w:rsidRPr="00102BD4">
        <w:rPr>
          <w:rFonts w:ascii="Times New Roman" w:hAnsi="Times New Roman" w:cs="Times New Roman"/>
        </w:rPr>
        <w:t xml:space="preserve">TDR data present noticeable striping in terms of NWP O-B field (DR 4813) but the striping magnitude is still within the requirement of ATMS </w:t>
      </w:r>
      <w:r w:rsidR="009733AF">
        <w:rPr>
          <w:rFonts w:ascii="Times New Roman" w:hAnsi="Times New Roman" w:cs="Times New Roman"/>
        </w:rPr>
        <w:t>channel noise (NE∆T)</w:t>
      </w:r>
      <w:r w:rsidRPr="00102BD4">
        <w:rPr>
          <w:rFonts w:ascii="Times New Roman" w:hAnsi="Times New Roman" w:cs="Times New Roman"/>
        </w:rPr>
        <w:t>.</w:t>
      </w:r>
    </w:p>
    <w:p w:rsidR="003037C7" w:rsidRDefault="003037C7" w:rsidP="007A4B8D">
      <w:pPr>
        <w:pStyle w:val="CM5"/>
        <w:numPr>
          <w:ilvl w:val="0"/>
          <w:numId w:val="27"/>
        </w:numPr>
        <w:spacing w:after="120"/>
        <w:ind w:left="720"/>
        <w:rPr>
          <w:rFonts w:ascii="Times New Roman" w:hAnsi="Times New Roman" w:cs="Times New Roman"/>
        </w:rPr>
      </w:pPr>
      <w:r w:rsidRPr="00F014EF">
        <w:rPr>
          <w:rFonts w:ascii="Times New Roman" w:hAnsi="Times New Roman" w:cs="Times New Roman"/>
        </w:rPr>
        <w:t>SDR brightness temperature data is the same as TDR brightness temperature</w:t>
      </w:r>
      <w:r w:rsidR="00E77C09">
        <w:rPr>
          <w:rFonts w:ascii="Times New Roman" w:hAnsi="Times New Roman" w:cs="Times New Roman"/>
        </w:rPr>
        <w:t xml:space="preserve"> data</w:t>
      </w:r>
      <w:r w:rsidRPr="00F014EF">
        <w:rPr>
          <w:rFonts w:ascii="Times New Roman" w:hAnsi="Times New Roman" w:cs="Times New Roman"/>
        </w:rPr>
        <w:t xml:space="preserve">. </w:t>
      </w:r>
      <w:r w:rsidRPr="00B4590D">
        <w:rPr>
          <w:rFonts w:ascii="Times New Roman" w:hAnsi="Times New Roman" w:cs="Times New Roman"/>
        </w:rPr>
        <w:t xml:space="preserve">Currently, the </w:t>
      </w:r>
      <w:r w:rsidR="00931B7B">
        <w:rPr>
          <w:rFonts w:ascii="Times New Roman" w:hAnsi="Times New Roman" w:cs="Times New Roman"/>
        </w:rPr>
        <w:t>beam-efficiency</w:t>
      </w:r>
      <w:r w:rsidR="00931B7B" w:rsidRPr="00B4590D">
        <w:rPr>
          <w:rFonts w:ascii="Times New Roman" w:hAnsi="Times New Roman" w:cs="Times New Roman"/>
        </w:rPr>
        <w:t xml:space="preserve"> </w:t>
      </w:r>
      <w:r w:rsidRPr="00B4590D">
        <w:rPr>
          <w:rFonts w:ascii="Times New Roman" w:hAnsi="Times New Roman" w:cs="Times New Roman"/>
        </w:rPr>
        <w:t xml:space="preserve">and </w:t>
      </w:r>
      <w:r w:rsidR="00931B7B">
        <w:rPr>
          <w:rFonts w:ascii="Times New Roman" w:hAnsi="Times New Roman" w:cs="Times New Roman"/>
        </w:rPr>
        <w:t>scan-bias</w:t>
      </w:r>
      <w:r w:rsidR="00931B7B" w:rsidRPr="00B4590D">
        <w:rPr>
          <w:rFonts w:ascii="Times New Roman" w:hAnsi="Times New Roman" w:cs="Times New Roman"/>
        </w:rPr>
        <w:t xml:space="preserve"> </w:t>
      </w:r>
      <w:r w:rsidRPr="00B4590D">
        <w:rPr>
          <w:rFonts w:ascii="Times New Roman" w:hAnsi="Times New Roman" w:cs="Times New Roman"/>
        </w:rPr>
        <w:t xml:space="preserve">coefficients for </w:t>
      </w:r>
      <w:r w:rsidR="00E77C09">
        <w:rPr>
          <w:rFonts w:ascii="Times New Roman" w:hAnsi="Times New Roman" w:cs="Times New Roman"/>
        </w:rPr>
        <w:t xml:space="preserve">the linear </w:t>
      </w:r>
      <w:r w:rsidRPr="00B4590D">
        <w:rPr>
          <w:rFonts w:ascii="Times New Roman" w:hAnsi="Times New Roman" w:cs="Times New Roman"/>
        </w:rPr>
        <w:t>TDR</w:t>
      </w:r>
      <w:r w:rsidR="00AF23F6">
        <w:rPr>
          <w:rFonts w:ascii="Times New Roman" w:hAnsi="Times New Roman" w:cs="Times New Roman"/>
        </w:rPr>
        <w:t>-</w:t>
      </w:r>
      <w:r w:rsidRPr="00B4590D">
        <w:rPr>
          <w:rFonts w:ascii="Times New Roman" w:hAnsi="Times New Roman" w:cs="Times New Roman"/>
        </w:rPr>
        <w:t>to</w:t>
      </w:r>
      <w:r w:rsidR="00AF23F6">
        <w:rPr>
          <w:rFonts w:ascii="Times New Roman" w:hAnsi="Times New Roman" w:cs="Times New Roman"/>
        </w:rPr>
        <w:t>-</w:t>
      </w:r>
      <w:r w:rsidRPr="00B4590D">
        <w:rPr>
          <w:rFonts w:ascii="Times New Roman" w:hAnsi="Times New Roman" w:cs="Times New Roman"/>
        </w:rPr>
        <w:t>SDR conversion are set to one and zero</w:t>
      </w:r>
      <w:r w:rsidR="00E77C09">
        <w:rPr>
          <w:rFonts w:ascii="Times New Roman" w:hAnsi="Times New Roman" w:cs="Times New Roman"/>
        </w:rPr>
        <w:t>, respectively</w:t>
      </w:r>
      <w:r w:rsidRPr="00B4590D">
        <w:rPr>
          <w:rFonts w:ascii="Times New Roman" w:hAnsi="Times New Roman" w:cs="Times New Roman"/>
        </w:rPr>
        <w:t xml:space="preserve">. It is found that the current SDR products are still within the ATMS accuracy specification [1]. At the ATMS provisional product review, it </w:t>
      </w:r>
      <w:r w:rsidR="00E77C09">
        <w:rPr>
          <w:rFonts w:ascii="Times New Roman" w:hAnsi="Times New Roman" w:cs="Times New Roman"/>
        </w:rPr>
        <w:t>was</w:t>
      </w:r>
      <w:r w:rsidR="00E77C09" w:rsidRPr="00B4590D">
        <w:rPr>
          <w:rFonts w:ascii="Times New Roman" w:hAnsi="Times New Roman" w:cs="Times New Roman"/>
        </w:rPr>
        <w:t xml:space="preserve"> </w:t>
      </w:r>
      <w:r w:rsidRPr="00B4590D">
        <w:rPr>
          <w:rFonts w:ascii="Times New Roman" w:hAnsi="Times New Roman" w:cs="Times New Roman"/>
        </w:rPr>
        <w:t>also shown by user community that NWP O-B for most of</w:t>
      </w:r>
      <w:r w:rsidR="00E77C09">
        <w:rPr>
          <w:rFonts w:ascii="Times New Roman" w:hAnsi="Times New Roman" w:cs="Times New Roman"/>
        </w:rPr>
        <w:t xml:space="preserve"> the</w:t>
      </w:r>
      <w:r w:rsidRPr="00B4590D">
        <w:rPr>
          <w:rFonts w:ascii="Times New Roman" w:hAnsi="Times New Roman" w:cs="Times New Roman"/>
        </w:rPr>
        <w:t xml:space="preserve"> upper air sounding channels are generally less than 1.0K</w:t>
      </w:r>
      <w:r>
        <w:rPr>
          <w:rFonts w:ascii="Times New Roman" w:hAnsi="Times New Roman" w:cs="Times New Roman"/>
        </w:rPr>
        <w:t xml:space="preserve">. </w:t>
      </w:r>
      <w:r w:rsidRPr="00F014EF">
        <w:rPr>
          <w:rFonts w:ascii="Times New Roman" w:hAnsi="Times New Roman" w:cs="Times New Roman"/>
        </w:rPr>
        <w:t>There were discrepancies in beam efficiency coefficients among NOAA/STAR, NGES, and MIT-LL calculations. Howev</w:t>
      </w:r>
      <w:r>
        <w:rPr>
          <w:rFonts w:ascii="Times New Roman" w:hAnsi="Times New Roman" w:cs="Times New Roman"/>
        </w:rPr>
        <w:t xml:space="preserve">er, </w:t>
      </w:r>
      <w:r w:rsidR="00E77C0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ATMS SDR team has reached an </w:t>
      </w:r>
      <w:r w:rsidRPr="00F014EF">
        <w:rPr>
          <w:rFonts w:ascii="Times New Roman" w:hAnsi="Times New Roman" w:cs="Times New Roman"/>
        </w:rPr>
        <w:t xml:space="preserve">agreement to produce a </w:t>
      </w:r>
      <w:r w:rsidR="00074461">
        <w:rPr>
          <w:rFonts w:ascii="Times New Roman" w:hAnsi="Times New Roman" w:cs="Times New Roman"/>
        </w:rPr>
        <w:t>beta</w:t>
      </w:r>
      <w:r w:rsidRPr="00F014EF">
        <w:rPr>
          <w:rFonts w:ascii="Times New Roman" w:hAnsi="Times New Roman" w:cs="Times New Roman"/>
        </w:rPr>
        <w:t xml:space="preserve"> version of beam efficiency and scan bias correction coefficients for preliminary evaluation.</w:t>
      </w:r>
    </w:p>
    <w:p w:rsidR="003037C7" w:rsidRDefault="003037C7" w:rsidP="007A4B8D">
      <w:pPr>
        <w:pStyle w:val="ListParagraph"/>
        <w:numPr>
          <w:ilvl w:val="0"/>
          <w:numId w:val="27"/>
        </w:numPr>
        <w:spacing w:after="120"/>
        <w:ind w:left="720"/>
        <w:contextualSpacing w:val="0"/>
        <w:rPr>
          <w:lang w:eastAsia="en-US"/>
        </w:rPr>
      </w:pPr>
      <w:r>
        <w:rPr>
          <w:lang w:eastAsia="en-US"/>
        </w:rPr>
        <w:t>Quality flags should be stable now.</w:t>
      </w:r>
      <w:r w:rsidR="007C5388">
        <w:rPr>
          <w:lang w:eastAsia="en-US"/>
        </w:rPr>
        <w:t xml:space="preserve"> But </w:t>
      </w:r>
      <w:r w:rsidR="00E77C09">
        <w:rPr>
          <w:lang w:eastAsia="en-US"/>
        </w:rPr>
        <w:t xml:space="preserve">the </w:t>
      </w:r>
      <w:r w:rsidR="007C5388">
        <w:rPr>
          <w:lang w:eastAsia="en-US"/>
        </w:rPr>
        <w:t>maneuver flag was not set correctly</w:t>
      </w:r>
      <w:r>
        <w:rPr>
          <w:lang w:eastAsia="en-US"/>
        </w:rPr>
        <w:t>.</w:t>
      </w:r>
    </w:p>
    <w:p w:rsidR="003037C7" w:rsidRDefault="003037C7" w:rsidP="007A4B8D">
      <w:pPr>
        <w:pStyle w:val="ListParagraph"/>
        <w:numPr>
          <w:ilvl w:val="0"/>
          <w:numId w:val="27"/>
        </w:numPr>
        <w:spacing w:after="120"/>
        <w:ind w:left="720"/>
        <w:contextualSpacing w:val="0"/>
        <w:rPr>
          <w:lang w:eastAsia="en-US"/>
        </w:rPr>
      </w:pPr>
      <w:r>
        <w:rPr>
          <w:lang w:eastAsia="en-US"/>
        </w:rPr>
        <w:t>Reflector emissivity impact analyses were performed on NPP ATMS pitch maneuver data. However, additional assessment is needed before conclud</w:t>
      </w:r>
      <w:r w:rsidR="00E77C09">
        <w:rPr>
          <w:lang w:eastAsia="en-US"/>
        </w:rPr>
        <w:t>ing</w:t>
      </w:r>
      <w:r>
        <w:rPr>
          <w:lang w:eastAsia="en-US"/>
        </w:rPr>
        <w:t xml:space="preserve"> that reflector emissivity impacts earth scene radiance</w:t>
      </w:r>
      <w:r w:rsidR="00E77C09">
        <w:rPr>
          <w:lang w:eastAsia="en-US"/>
        </w:rPr>
        <w:t>s</w:t>
      </w:r>
      <w:r>
        <w:rPr>
          <w:lang w:eastAsia="en-US"/>
        </w:rPr>
        <w:t>.</w:t>
      </w:r>
    </w:p>
    <w:p w:rsidR="00926821" w:rsidRDefault="00AF23F6" w:rsidP="007A4B8D">
      <w:pPr>
        <w:pStyle w:val="ListParagraph"/>
        <w:numPr>
          <w:ilvl w:val="0"/>
          <w:numId w:val="27"/>
        </w:numPr>
        <w:spacing w:after="120"/>
        <w:ind w:left="720"/>
        <w:contextualSpacing w:val="0"/>
        <w:rPr>
          <w:lang w:eastAsia="en-US"/>
        </w:rPr>
      </w:pPr>
      <w:r>
        <w:rPr>
          <w:lang w:eastAsia="en-US"/>
        </w:rPr>
        <w:t xml:space="preserve">The </w:t>
      </w:r>
      <w:r w:rsidR="00926821">
        <w:rPr>
          <w:lang w:eastAsia="en-US"/>
        </w:rPr>
        <w:t xml:space="preserve">Lunar intrusion </w:t>
      </w:r>
      <w:r w:rsidR="008D3003">
        <w:rPr>
          <w:lang w:eastAsia="en-US"/>
        </w:rPr>
        <w:t xml:space="preserve">flag </w:t>
      </w:r>
      <w:r w:rsidR="00926821">
        <w:rPr>
          <w:lang w:eastAsia="en-US"/>
        </w:rPr>
        <w:t>was set correctly</w:t>
      </w:r>
      <w:r w:rsidR="008D3003">
        <w:rPr>
          <w:lang w:eastAsia="en-US"/>
        </w:rPr>
        <w:t xml:space="preserve"> but lunar intrusion correction was not implemented</w:t>
      </w:r>
      <w:r w:rsidR="00926821">
        <w:rPr>
          <w:lang w:eastAsia="en-US"/>
        </w:rPr>
        <w:t>.</w:t>
      </w:r>
    </w:p>
    <w:p w:rsidR="00502584" w:rsidRPr="00570A7F" w:rsidRDefault="00502584" w:rsidP="007555D1">
      <w:pPr>
        <w:spacing w:before="100" w:beforeAutospacing="1" w:after="100" w:afterAutospacing="1"/>
        <w:rPr>
          <w:b/>
        </w:rPr>
      </w:pPr>
      <w:r w:rsidRPr="00570A7F">
        <w:rPr>
          <w:b/>
        </w:rPr>
        <w:t xml:space="preserve">1.2 Major </w:t>
      </w:r>
      <w:r w:rsidR="00163FA3" w:rsidRPr="00570A7F">
        <w:rPr>
          <w:b/>
        </w:rPr>
        <w:t>Cal</w:t>
      </w:r>
      <w:r w:rsidR="003418E1">
        <w:rPr>
          <w:b/>
        </w:rPr>
        <w:t>/</w:t>
      </w:r>
      <w:r w:rsidR="00163FA3" w:rsidRPr="00570A7F">
        <w:rPr>
          <w:b/>
        </w:rPr>
        <w:t xml:space="preserve">Val </w:t>
      </w:r>
      <w:r w:rsidR="00964537">
        <w:rPr>
          <w:b/>
        </w:rPr>
        <w:t>A</w:t>
      </w:r>
      <w:r w:rsidRPr="00570A7F">
        <w:rPr>
          <w:b/>
        </w:rPr>
        <w:t xml:space="preserve">ctivities after the </w:t>
      </w:r>
      <w:r w:rsidR="005D485A">
        <w:rPr>
          <w:b/>
        </w:rPr>
        <w:t>Provisional</w:t>
      </w:r>
      <w:r w:rsidRPr="00570A7F">
        <w:rPr>
          <w:b/>
        </w:rPr>
        <w:t xml:space="preserve"> </w:t>
      </w:r>
      <w:r w:rsidR="00964537">
        <w:rPr>
          <w:b/>
        </w:rPr>
        <w:t>Version</w:t>
      </w:r>
    </w:p>
    <w:p w:rsidR="005225D5" w:rsidRPr="00570A7F" w:rsidRDefault="005225D5" w:rsidP="00FC15C5">
      <w:pPr>
        <w:spacing w:before="100" w:beforeAutospacing="1" w:after="100" w:afterAutospacing="1"/>
        <w:ind w:firstLine="360"/>
      </w:pPr>
      <w:r w:rsidRPr="00570A7F">
        <w:t xml:space="preserve">Since the </w:t>
      </w:r>
      <w:r w:rsidR="00153FC2">
        <w:t>Provisional</w:t>
      </w:r>
      <w:r w:rsidRPr="00570A7F">
        <w:t xml:space="preserve"> Review Meeting</w:t>
      </w:r>
      <w:r w:rsidR="00964537">
        <w:t xml:space="preserve"> </w:t>
      </w:r>
      <w:r w:rsidR="00AF23F6">
        <w:t>on</w:t>
      </w:r>
      <w:r w:rsidR="00964537">
        <w:t xml:space="preserve"> </w:t>
      </w:r>
      <w:r w:rsidR="00153FC2">
        <w:t>October 2</w:t>
      </w:r>
      <w:r w:rsidR="00811FAD">
        <w:t>3</w:t>
      </w:r>
      <w:r w:rsidR="00964537">
        <w:t>, 2012</w:t>
      </w:r>
      <w:r w:rsidRPr="00570A7F">
        <w:t xml:space="preserve">, the </w:t>
      </w:r>
      <w:r w:rsidR="00C709F9">
        <w:t>ATMS</w:t>
      </w:r>
      <w:r w:rsidRPr="00570A7F">
        <w:t xml:space="preserve"> SDR team has focused on the following activities:</w:t>
      </w:r>
    </w:p>
    <w:p w:rsidR="002B569F" w:rsidRPr="00570A7F" w:rsidRDefault="00DD65A9" w:rsidP="005225D5">
      <w:pPr>
        <w:numPr>
          <w:ilvl w:val="0"/>
          <w:numId w:val="14"/>
        </w:numPr>
        <w:spacing w:before="100" w:beforeAutospacing="1" w:after="100" w:afterAutospacing="1"/>
      </w:pPr>
      <w:r>
        <w:t>SDR Calibratio</w:t>
      </w:r>
      <w:r w:rsidR="00711273">
        <w:t>n</w:t>
      </w:r>
      <w:r w:rsidR="007109B5">
        <w:t xml:space="preserve"> Analysis</w:t>
      </w:r>
    </w:p>
    <w:p w:rsidR="003C4FFA" w:rsidRDefault="004758B5" w:rsidP="00E5468C">
      <w:pPr>
        <w:numPr>
          <w:ilvl w:val="1"/>
          <w:numId w:val="14"/>
        </w:numPr>
        <w:spacing w:before="100" w:beforeAutospacing="1" w:after="120"/>
        <w:ind w:left="1080"/>
      </w:pPr>
      <w:r>
        <w:t>Developed t</w:t>
      </w:r>
      <w:r w:rsidR="006F2669">
        <w:t xml:space="preserve">heoretical </w:t>
      </w:r>
      <w:r>
        <w:t>expressions for ATMS TDR</w:t>
      </w:r>
      <w:r w:rsidR="00AF23F6">
        <w:t>-</w:t>
      </w:r>
      <w:r>
        <w:t>to</w:t>
      </w:r>
      <w:r w:rsidR="00AF23F6">
        <w:t>-</w:t>
      </w:r>
      <w:r>
        <w:t xml:space="preserve">SDR conversion </w:t>
      </w:r>
    </w:p>
    <w:p w:rsidR="00117FE5" w:rsidRDefault="00117FE5" w:rsidP="00E5468C">
      <w:pPr>
        <w:numPr>
          <w:ilvl w:val="1"/>
          <w:numId w:val="14"/>
        </w:numPr>
        <w:spacing w:before="100" w:beforeAutospacing="1" w:after="120"/>
        <w:ind w:left="1080"/>
      </w:pPr>
      <w:r>
        <w:t>PCT table update for antenna pattern and scan bias correction</w:t>
      </w:r>
    </w:p>
    <w:p w:rsidR="00117FE5" w:rsidRDefault="00117FE5" w:rsidP="00E5468C">
      <w:pPr>
        <w:numPr>
          <w:ilvl w:val="1"/>
          <w:numId w:val="14"/>
        </w:numPr>
        <w:spacing w:before="100" w:beforeAutospacing="1" w:after="120"/>
        <w:ind w:left="1080"/>
      </w:pPr>
      <w:r>
        <w:t>Lunar intrusion detection and correction</w:t>
      </w:r>
    </w:p>
    <w:p w:rsidR="002B569F" w:rsidRDefault="00C02BF3" w:rsidP="00E5468C">
      <w:pPr>
        <w:numPr>
          <w:ilvl w:val="1"/>
          <w:numId w:val="14"/>
        </w:numPr>
        <w:spacing w:before="100" w:beforeAutospacing="1" w:after="120"/>
        <w:ind w:left="1080"/>
      </w:pPr>
      <w:r w:rsidRPr="00570A7F">
        <w:t>Inter-satellite/sensor comparisons</w:t>
      </w:r>
    </w:p>
    <w:p w:rsidR="002B569F" w:rsidRPr="00570A7F" w:rsidRDefault="00126DE3" w:rsidP="00E5468C">
      <w:pPr>
        <w:numPr>
          <w:ilvl w:val="1"/>
          <w:numId w:val="14"/>
        </w:numPr>
        <w:spacing w:before="100" w:beforeAutospacing="1" w:after="120"/>
        <w:ind w:left="1080"/>
      </w:pPr>
      <w:r>
        <w:t>SDR bias characterization using GPS R</w:t>
      </w:r>
      <w:r w:rsidR="00AF23F6">
        <w:t xml:space="preserve">adio </w:t>
      </w:r>
      <w:r>
        <w:t>O</w:t>
      </w:r>
      <w:r w:rsidR="00AF23F6">
        <w:t>ccultation</w:t>
      </w:r>
      <w:r>
        <w:t xml:space="preserve"> data</w:t>
      </w:r>
    </w:p>
    <w:p w:rsidR="002B569F" w:rsidRDefault="000443B6" w:rsidP="00E5468C">
      <w:pPr>
        <w:numPr>
          <w:ilvl w:val="1"/>
          <w:numId w:val="14"/>
        </w:numPr>
        <w:spacing w:before="100" w:beforeAutospacing="1" w:after="120"/>
        <w:ind w:left="1080"/>
      </w:pPr>
      <w:r>
        <w:t>TDR striping analysis</w:t>
      </w:r>
      <w:r w:rsidR="002229F8">
        <w:t xml:space="preserve"> and mitigation plan discussion</w:t>
      </w:r>
    </w:p>
    <w:p w:rsidR="00EC75E7" w:rsidRDefault="000646EF" w:rsidP="00E5468C">
      <w:pPr>
        <w:numPr>
          <w:ilvl w:val="1"/>
          <w:numId w:val="14"/>
        </w:numPr>
        <w:spacing w:before="100" w:beforeAutospacing="1" w:after="120"/>
        <w:ind w:left="1080"/>
      </w:pPr>
      <w:r>
        <w:t>S</w:t>
      </w:r>
      <w:r w:rsidR="002229F8">
        <w:t xml:space="preserve">can profile </w:t>
      </w:r>
      <w:r>
        <w:t>contingency plan discussion and proxy data generation</w:t>
      </w:r>
    </w:p>
    <w:p w:rsidR="000646EF" w:rsidRDefault="000646EF" w:rsidP="00E5468C">
      <w:pPr>
        <w:numPr>
          <w:ilvl w:val="1"/>
          <w:numId w:val="14"/>
        </w:numPr>
        <w:spacing w:before="100" w:beforeAutospacing="1" w:after="120"/>
        <w:ind w:left="1080"/>
      </w:pPr>
      <w:r>
        <w:t>ATMS SDR ATBD update</w:t>
      </w:r>
    </w:p>
    <w:p w:rsidR="00FA7BDF" w:rsidRDefault="00FA7BDF" w:rsidP="00E5468C">
      <w:pPr>
        <w:numPr>
          <w:ilvl w:val="1"/>
          <w:numId w:val="14"/>
        </w:numPr>
        <w:spacing w:before="100" w:beforeAutospacing="1" w:after="120"/>
        <w:ind w:left="1080"/>
      </w:pPr>
      <w:r>
        <w:t>ATMS data user guide preparation</w:t>
      </w:r>
    </w:p>
    <w:p w:rsidR="002B569F" w:rsidRPr="00570A7F" w:rsidRDefault="00C02BF3" w:rsidP="005225D5">
      <w:pPr>
        <w:numPr>
          <w:ilvl w:val="0"/>
          <w:numId w:val="14"/>
        </w:numPr>
        <w:spacing w:before="100" w:beforeAutospacing="1" w:after="100" w:afterAutospacing="1"/>
      </w:pPr>
      <w:r w:rsidRPr="00570A7F">
        <w:lastRenderedPageBreak/>
        <w:t>Algorithm improvement and code fix</w:t>
      </w:r>
    </w:p>
    <w:p w:rsidR="002B569F" w:rsidRDefault="00AF0236" w:rsidP="00354D3D">
      <w:pPr>
        <w:numPr>
          <w:ilvl w:val="1"/>
          <w:numId w:val="14"/>
        </w:numPr>
        <w:spacing w:before="100" w:beforeAutospacing="1" w:after="120"/>
        <w:ind w:left="1080"/>
      </w:pPr>
      <w:r>
        <w:t xml:space="preserve">Code fixes for </w:t>
      </w:r>
      <w:r w:rsidR="00F61A31">
        <w:t>TDR/SDR maneuver flag</w:t>
      </w:r>
    </w:p>
    <w:p w:rsidR="00354D3D" w:rsidRDefault="00354D3D" w:rsidP="00354D3D">
      <w:pPr>
        <w:numPr>
          <w:ilvl w:val="1"/>
          <w:numId w:val="14"/>
        </w:numPr>
        <w:spacing w:before="100" w:beforeAutospacing="1" w:after="120"/>
        <w:ind w:left="1080"/>
      </w:pPr>
      <w:r>
        <w:t>Code update for lunar intrusion correction</w:t>
      </w:r>
    </w:p>
    <w:p w:rsidR="00181F97" w:rsidRPr="00570A7F" w:rsidRDefault="00181F97" w:rsidP="00354D3D">
      <w:pPr>
        <w:numPr>
          <w:ilvl w:val="1"/>
          <w:numId w:val="14"/>
        </w:numPr>
        <w:spacing w:before="100" w:beforeAutospacing="1" w:after="120"/>
        <w:ind w:left="1080"/>
      </w:pPr>
      <w:r>
        <w:t>PCT update for TDR</w:t>
      </w:r>
      <w:r w:rsidR="00AF23F6">
        <w:t>-</w:t>
      </w:r>
      <w:r>
        <w:t>to</w:t>
      </w:r>
      <w:r w:rsidR="00AF23F6">
        <w:t>-</w:t>
      </w:r>
      <w:r>
        <w:t>SDR conversion</w:t>
      </w:r>
    </w:p>
    <w:p w:rsidR="00113DEB" w:rsidRPr="00570A7F" w:rsidRDefault="00113DEB" w:rsidP="00113DEB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b/>
        </w:rPr>
      </w:pPr>
      <w:r w:rsidRPr="00570A7F">
        <w:rPr>
          <w:b/>
        </w:rPr>
        <w:t>Justification</w:t>
      </w:r>
      <w:r w:rsidR="00964537">
        <w:rPr>
          <w:b/>
        </w:rPr>
        <w:t>s</w:t>
      </w:r>
      <w:r w:rsidRPr="00570A7F">
        <w:rPr>
          <w:b/>
        </w:rPr>
        <w:t xml:space="preserve"> for </w:t>
      </w:r>
      <w:r w:rsidR="00964537">
        <w:rPr>
          <w:b/>
        </w:rPr>
        <w:t>P</w:t>
      </w:r>
      <w:r w:rsidRPr="00570A7F">
        <w:rPr>
          <w:b/>
        </w:rPr>
        <w:t xml:space="preserve">romoting </w:t>
      </w:r>
      <w:r w:rsidR="00942E0E">
        <w:rPr>
          <w:b/>
        </w:rPr>
        <w:t>ATMS</w:t>
      </w:r>
      <w:r w:rsidRPr="00570A7F">
        <w:rPr>
          <w:b/>
        </w:rPr>
        <w:t xml:space="preserve"> </w:t>
      </w:r>
      <w:r w:rsidR="00C62732">
        <w:rPr>
          <w:b/>
        </w:rPr>
        <w:t>TDR/</w:t>
      </w:r>
      <w:r w:rsidRPr="00570A7F">
        <w:rPr>
          <w:b/>
        </w:rPr>
        <w:t>SDR</w:t>
      </w:r>
      <w:r w:rsidR="00C62732">
        <w:rPr>
          <w:b/>
        </w:rPr>
        <w:t>/RSDR</w:t>
      </w:r>
      <w:r w:rsidR="00964537">
        <w:rPr>
          <w:b/>
        </w:rPr>
        <w:t xml:space="preserve"> Products </w:t>
      </w:r>
      <w:r w:rsidRPr="00570A7F">
        <w:rPr>
          <w:b/>
        </w:rPr>
        <w:t xml:space="preserve">from </w:t>
      </w:r>
      <w:r w:rsidR="009A2E99">
        <w:rPr>
          <w:b/>
        </w:rPr>
        <w:t>Provisional</w:t>
      </w:r>
      <w:r w:rsidRPr="00570A7F">
        <w:rPr>
          <w:b/>
        </w:rPr>
        <w:t xml:space="preserve"> to </w:t>
      </w:r>
      <w:r w:rsidR="009A2E99">
        <w:rPr>
          <w:b/>
        </w:rPr>
        <w:t>Validated</w:t>
      </w:r>
      <w:r w:rsidR="00964537">
        <w:rPr>
          <w:b/>
        </w:rPr>
        <w:t xml:space="preserve"> Level</w:t>
      </w:r>
    </w:p>
    <w:p w:rsidR="0039568C" w:rsidRPr="0074545A" w:rsidRDefault="00CB1CB0" w:rsidP="0074545A">
      <w:pPr>
        <w:spacing w:before="100" w:beforeAutospacing="1" w:after="100" w:afterAutospacing="1"/>
        <w:ind w:firstLine="360"/>
        <w:rPr>
          <w:rFonts w:eastAsia="Times New Roman"/>
          <w:color w:val="000000"/>
          <w:szCs w:val="20"/>
          <w:lang w:eastAsia="zh-CN"/>
        </w:rPr>
      </w:pPr>
      <w:r>
        <w:t xml:space="preserve">The ATMS SDR </w:t>
      </w:r>
      <w:r w:rsidR="00FC15C5">
        <w:t>Validated</w:t>
      </w:r>
      <w:r>
        <w:t xml:space="preserve"> Product Review Meeting was very successful. After presenting progress results by all </w:t>
      </w:r>
      <w:r w:rsidR="00AF23F6">
        <w:t xml:space="preserve">investigators </w:t>
      </w:r>
      <w:r>
        <w:t xml:space="preserve">on </w:t>
      </w:r>
      <w:r w:rsidR="00F872FC">
        <w:t>remaining</w:t>
      </w:r>
      <w:r>
        <w:t xml:space="preserve"> tasks</w:t>
      </w:r>
      <w:r w:rsidR="00F872FC">
        <w:t xml:space="preserve"> after provisional</w:t>
      </w:r>
      <w:r>
        <w:t xml:space="preserve">, </w:t>
      </w:r>
      <w:r w:rsidR="0039568C" w:rsidRPr="00570A7F">
        <w:rPr>
          <w:rFonts w:eastAsia="Times New Roman"/>
          <w:color w:val="000000"/>
          <w:szCs w:val="20"/>
          <w:lang w:eastAsia="zh-CN"/>
        </w:rPr>
        <w:t xml:space="preserve">the review panel provided the following assessment </w:t>
      </w:r>
      <w:r w:rsidR="00AF23F6">
        <w:rPr>
          <w:rFonts w:eastAsia="Times New Roman"/>
          <w:color w:val="000000"/>
          <w:szCs w:val="20"/>
          <w:lang w:eastAsia="zh-CN"/>
        </w:rPr>
        <w:t>of</w:t>
      </w:r>
      <w:r w:rsidR="00AF23F6" w:rsidRPr="00570A7F">
        <w:rPr>
          <w:rFonts w:eastAsia="Times New Roman"/>
          <w:color w:val="000000"/>
          <w:szCs w:val="20"/>
          <w:lang w:eastAsia="zh-CN"/>
        </w:rPr>
        <w:t xml:space="preserve"> </w:t>
      </w:r>
      <w:r w:rsidR="0039568C" w:rsidRPr="00570A7F">
        <w:rPr>
          <w:rFonts w:eastAsia="Times New Roman"/>
          <w:color w:val="000000"/>
          <w:szCs w:val="20"/>
          <w:lang w:eastAsia="zh-CN"/>
        </w:rPr>
        <w:t xml:space="preserve">the </w:t>
      </w:r>
      <w:r w:rsidR="007C5FF9">
        <w:rPr>
          <w:rFonts w:eastAsia="Times New Roman"/>
          <w:color w:val="000000"/>
          <w:szCs w:val="20"/>
          <w:lang w:eastAsia="zh-CN"/>
        </w:rPr>
        <w:t>ATMS</w:t>
      </w:r>
      <w:r w:rsidR="0039568C" w:rsidRPr="00570A7F">
        <w:rPr>
          <w:rFonts w:eastAsia="Times New Roman"/>
          <w:color w:val="000000"/>
          <w:szCs w:val="20"/>
          <w:lang w:eastAsia="zh-CN"/>
        </w:rPr>
        <w:t xml:space="preserve"> SDR </w:t>
      </w:r>
      <w:r w:rsidR="00964537">
        <w:rPr>
          <w:rFonts w:eastAsia="Times New Roman"/>
          <w:color w:val="000000"/>
          <w:szCs w:val="20"/>
          <w:lang w:eastAsia="zh-CN"/>
        </w:rPr>
        <w:t>p</w:t>
      </w:r>
      <w:r w:rsidR="0039568C" w:rsidRPr="00570A7F">
        <w:rPr>
          <w:rFonts w:eastAsia="Times New Roman"/>
          <w:color w:val="000000"/>
          <w:szCs w:val="20"/>
          <w:lang w:eastAsia="zh-CN"/>
        </w:rPr>
        <w:t>roduct</w:t>
      </w:r>
      <w:r w:rsidR="00964537">
        <w:rPr>
          <w:rFonts w:eastAsia="Times New Roman"/>
          <w:color w:val="000000"/>
          <w:szCs w:val="20"/>
          <w:lang w:eastAsia="zh-CN"/>
        </w:rPr>
        <w:t>s</w:t>
      </w:r>
      <w:r w:rsidR="0039568C" w:rsidRPr="00570A7F">
        <w:rPr>
          <w:rFonts w:eastAsia="Times New Roman"/>
          <w:color w:val="000000"/>
          <w:szCs w:val="20"/>
          <w:lang w:eastAsia="zh-CN"/>
        </w:rPr>
        <w:t>:</w:t>
      </w:r>
    </w:p>
    <w:p w:rsidR="002A0A55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On-orbit NE∆T is well characterized and meets specification</w:t>
      </w:r>
    </w:p>
    <w:p w:rsidR="002A0A55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On-orbit SDR bias is well characterized using different data</w:t>
      </w:r>
    </w:p>
    <w:p w:rsidR="002A0A55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All the important quality flags are checked and updated</w:t>
      </w:r>
    </w:p>
    <w:p w:rsidR="002A0A55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Calibration coefficients from TDR</w:t>
      </w:r>
      <w:r w:rsidR="00AF23F6"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>to</w:t>
      </w:r>
      <w:r w:rsidR="00AF23F6"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 xml:space="preserve">SDR </w:t>
      </w:r>
      <w:r w:rsidR="00AF23F6">
        <w:rPr>
          <w:rFonts w:eastAsia="Times New Roman"/>
          <w:lang w:eastAsia="en-US"/>
        </w:rPr>
        <w:t xml:space="preserve">conversion </w:t>
      </w:r>
      <w:r>
        <w:rPr>
          <w:rFonts w:eastAsia="Times New Roman"/>
          <w:lang w:eastAsia="en-US"/>
        </w:rPr>
        <w:t>for K/Ka/V bands are updated</w:t>
      </w:r>
      <w:r w:rsidR="00AF23F6">
        <w:rPr>
          <w:rFonts w:eastAsia="Times New Roman"/>
          <w:lang w:eastAsia="en-US"/>
        </w:rPr>
        <w:t>,</w:t>
      </w:r>
      <w:r>
        <w:rPr>
          <w:rFonts w:eastAsia="Times New Roman"/>
          <w:lang w:eastAsia="en-US"/>
        </w:rPr>
        <w:t xml:space="preserve"> and only </w:t>
      </w:r>
      <w:r w:rsidR="00AF23F6">
        <w:rPr>
          <w:rFonts w:eastAsia="Times New Roman"/>
          <w:lang w:eastAsia="en-US"/>
        </w:rPr>
        <w:t>scan biases</w:t>
      </w:r>
      <w:r>
        <w:rPr>
          <w:rFonts w:eastAsia="Times New Roman"/>
          <w:lang w:eastAsia="en-US"/>
        </w:rPr>
        <w:t xml:space="preserve"> are updated for W/G bands</w:t>
      </w:r>
    </w:p>
    <w:p w:rsidR="002A0A55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Lunar intrusion correction is tested and DR is submitted for update</w:t>
      </w:r>
    </w:p>
    <w:p w:rsidR="002A0A55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ATMS and AMSU-A inter-sensor biases are well characterized</w:t>
      </w:r>
      <w:r w:rsidR="00AF23F6">
        <w:rPr>
          <w:rFonts w:eastAsia="Times New Roman"/>
          <w:lang w:eastAsia="en-US"/>
        </w:rPr>
        <w:t>,</w:t>
      </w:r>
      <w:r>
        <w:rPr>
          <w:rFonts w:eastAsia="Times New Roman"/>
          <w:lang w:eastAsia="en-US"/>
        </w:rPr>
        <w:t xml:space="preserve"> and ATMS TDR data are more consistent with AMSU-A data.</w:t>
      </w:r>
    </w:p>
    <w:p w:rsidR="002A0A55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Very solid root-cause analysis for striping using TVAC, pitch-over maneuver data, and earth scene analysis.</w:t>
      </w:r>
    </w:p>
    <w:p w:rsidR="002A0A55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STAR ICVS-LTM can provide lon</w:t>
      </w:r>
      <w:r w:rsidR="00064593">
        <w:rPr>
          <w:rFonts w:eastAsia="Times New Roman"/>
          <w:lang w:eastAsia="en-US"/>
        </w:rPr>
        <w:t>g</w:t>
      </w:r>
      <w:r>
        <w:rPr>
          <w:rFonts w:eastAsia="Times New Roman"/>
          <w:lang w:eastAsia="en-US"/>
        </w:rPr>
        <w:t>-term monitoring of ATMS instruments</w:t>
      </w:r>
    </w:p>
    <w:p w:rsidR="002A0A55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Good documentations including updated ATBD, publications, error budget analysis, et</w:t>
      </w:r>
      <w:r w:rsidR="00AF23F6">
        <w:rPr>
          <w:rFonts w:eastAsia="Times New Roman"/>
          <w:lang w:eastAsia="en-US"/>
        </w:rPr>
        <w:t>c</w:t>
      </w:r>
    </w:p>
    <w:p w:rsidR="00E05CB1" w:rsidRDefault="002A0A55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All the Cal/Val science</w:t>
      </w:r>
      <w:r w:rsidR="00AF23F6">
        <w:rPr>
          <w:rFonts w:eastAsia="Times New Roman"/>
          <w:lang w:eastAsia="en-US"/>
        </w:rPr>
        <w:t xml:space="preserve"> results</w:t>
      </w:r>
      <w:r>
        <w:rPr>
          <w:rFonts w:eastAsia="Times New Roman"/>
          <w:lang w:eastAsia="en-US"/>
        </w:rPr>
        <w:t xml:space="preserve"> have been published through peer-reviewed process</w:t>
      </w:r>
    </w:p>
    <w:p w:rsidR="000B5944" w:rsidRDefault="000B5944" w:rsidP="00DA704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NWP users </w:t>
      </w:r>
      <w:r w:rsidR="00CD58E5">
        <w:rPr>
          <w:rFonts w:eastAsia="Times New Roman"/>
          <w:lang w:eastAsia="en-US"/>
        </w:rPr>
        <w:t>have</w:t>
      </w:r>
      <w:r>
        <w:rPr>
          <w:rFonts w:eastAsia="Times New Roman"/>
          <w:lang w:eastAsia="en-US"/>
        </w:rPr>
        <w:t xml:space="preserve"> demonstrated </w:t>
      </w:r>
      <w:r w:rsidR="007F3D5A">
        <w:rPr>
          <w:rFonts w:eastAsia="Times New Roman"/>
          <w:lang w:eastAsia="en-US"/>
        </w:rPr>
        <w:t>positive impact</w:t>
      </w:r>
      <w:r w:rsidR="00964537">
        <w:rPr>
          <w:rFonts w:eastAsia="Times New Roman"/>
          <w:lang w:eastAsia="en-US"/>
        </w:rPr>
        <w:t>s</w:t>
      </w:r>
      <w:r>
        <w:rPr>
          <w:rFonts w:eastAsia="Times New Roman"/>
          <w:lang w:eastAsia="en-US"/>
        </w:rPr>
        <w:t xml:space="preserve"> of</w:t>
      </w:r>
      <w:r w:rsidR="00B13EF4">
        <w:rPr>
          <w:rFonts w:eastAsia="Times New Roman"/>
          <w:lang w:eastAsia="en-US"/>
        </w:rPr>
        <w:t xml:space="preserve"> ATMS TDR </w:t>
      </w:r>
      <w:r w:rsidR="00964537">
        <w:rPr>
          <w:rFonts w:eastAsia="Times New Roman"/>
          <w:lang w:eastAsia="en-US"/>
        </w:rPr>
        <w:t xml:space="preserve">on global medium-range </w:t>
      </w:r>
      <w:r w:rsidR="00B13EF4">
        <w:rPr>
          <w:rFonts w:eastAsia="Times New Roman"/>
          <w:lang w:eastAsia="en-US"/>
        </w:rPr>
        <w:t>forecast models</w:t>
      </w:r>
    </w:p>
    <w:p w:rsidR="00337FDC" w:rsidRPr="00153FC2" w:rsidRDefault="00337FDC" w:rsidP="00DA7049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eastAsia="Times New Roman"/>
          <w:color w:val="000000"/>
          <w:lang w:eastAsia="zh-CN"/>
        </w:rPr>
      </w:pPr>
      <w:r>
        <w:rPr>
          <w:rFonts w:eastAsia="Times New Roman"/>
          <w:lang w:eastAsia="en-US"/>
        </w:rPr>
        <w:t xml:space="preserve">ATMS </w:t>
      </w:r>
      <w:r w:rsidR="00504D16">
        <w:rPr>
          <w:rFonts w:eastAsia="Times New Roman"/>
          <w:lang w:eastAsia="en-US"/>
        </w:rPr>
        <w:t>SDR</w:t>
      </w:r>
      <w:r>
        <w:rPr>
          <w:rFonts w:eastAsia="Times New Roman"/>
          <w:lang w:eastAsia="en-US"/>
        </w:rPr>
        <w:t xml:space="preserve"> products have reached the </w:t>
      </w:r>
      <w:r w:rsidR="00E05CB1">
        <w:rPr>
          <w:rFonts w:eastAsia="Times New Roman"/>
          <w:lang w:eastAsia="en-US"/>
        </w:rPr>
        <w:t>validated</w:t>
      </w:r>
      <w:r w:rsidR="0039568C" w:rsidRPr="00570A7F">
        <w:rPr>
          <w:rFonts w:eastAsia="Times New Roman"/>
          <w:lang w:eastAsia="en-US"/>
        </w:rPr>
        <w:t xml:space="preserve"> maturity</w:t>
      </w:r>
      <w:r>
        <w:rPr>
          <w:rFonts w:eastAsia="Times New Roman"/>
          <w:lang w:eastAsia="en-US"/>
        </w:rPr>
        <w:t xml:space="preserve"> level</w:t>
      </w:r>
      <w:r w:rsidR="009A3435">
        <w:rPr>
          <w:rFonts w:eastAsia="Times New Roman"/>
          <w:lang w:eastAsia="en-US"/>
        </w:rPr>
        <w:t>. The data is ready for use by the operational center and scientific publications.</w:t>
      </w:r>
    </w:p>
    <w:p w:rsidR="003B39D1" w:rsidRDefault="00337FDC" w:rsidP="0074545A">
      <w:pPr>
        <w:pStyle w:val="CM5"/>
        <w:spacing w:before="240" w:after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39D1" w:rsidRPr="00570A7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detail</w:t>
      </w:r>
      <w:r w:rsidR="00AF23F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3B39D1" w:rsidRPr="00570A7F">
        <w:rPr>
          <w:rFonts w:ascii="Times New Roman" w:hAnsi="Times New Roman" w:cs="Times New Roman"/>
        </w:rPr>
        <w:t xml:space="preserve">justifications for promoting the </w:t>
      </w:r>
      <w:r w:rsidR="008F2B27">
        <w:rPr>
          <w:rFonts w:ascii="Times New Roman" w:hAnsi="Times New Roman" w:cs="Times New Roman"/>
        </w:rPr>
        <w:t>ATMS</w:t>
      </w:r>
      <w:r w:rsidR="003B39D1" w:rsidRPr="00570A7F">
        <w:rPr>
          <w:rFonts w:ascii="Times New Roman" w:hAnsi="Times New Roman" w:cs="Times New Roman"/>
        </w:rPr>
        <w:t xml:space="preserve"> </w:t>
      </w:r>
      <w:r w:rsidR="008F2B27">
        <w:rPr>
          <w:rFonts w:ascii="Times New Roman" w:hAnsi="Times New Roman" w:cs="Times New Roman"/>
        </w:rPr>
        <w:t>SDR</w:t>
      </w:r>
      <w:r w:rsidR="003B39D1" w:rsidRPr="00570A7F">
        <w:rPr>
          <w:rFonts w:ascii="Times New Roman" w:hAnsi="Times New Roman" w:cs="Times New Roman"/>
        </w:rPr>
        <w:t xml:space="preserve"> from </w:t>
      </w:r>
      <w:r w:rsidR="00CF2FA2">
        <w:rPr>
          <w:rFonts w:ascii="Times New Roman" w:hAnsi="Times New Roman" w:cs="Times New Roman"/>
        </w:rPr>
        <w:t>Provisional</w:t>
      </w:r>
      <w:r w:rsidR="003B39D1" w:rsidRPr="00570A7F">
        <w:rPr>
          <w:rFonts w:ascii="Times New Roman" w:hAnsi="Times New Roman" w:cs="Times New Roman"/>
        </w:rPr>
        <w:t xml:space="preserve"> to </w:t>
      </w:r>
      <w:r w:rsidR="00CF2FA2">
        <w:rPr>
          <w:rFonts w:ascii="Times New Roman" w:hAnsi="Times New Roman" w:cs="Times New Roman"/>
        </w:rPr>
        <w:t>Validated</w:t>
      </w:r>
      <w:r w:rsidR="003B39D1" w:rsidRPr="00570A7F">
        <w:rPr>
          <w:rFonts w:ascii="Times New Roman" w:hAnsi="Times New Roman" w:cs="Times New Roman"/>
        </w:rPr>
        <w:t xml:space="preserve"> maturity level are summarized in the following and the supporting materials </w:t>
      </w:r>
      <w:r w:rsidR="00F40873" w:rsidRPr="00570A7F">
        <w:rPr>
          <w:rFonts w:ascii="Times New Roman" w:hAnsi="Times New Roman" w:cs="Times New Roman"/>
        </w:rPr>
        <w:t>[1] – [</w:t>
      </w:r>
      <w:r w:rsidR="003614DD">
        <w:rPr>
          <w:rFonts w:ascii="Times New Roman" w:hAnsi="Times New Roman" w:cs="Times New Roman"/>
        </w:rPr>
        <w:t>15</w:t>
      </w:r>
      <w:r w:rsidR="00F40873" w:rsidRPr="00570A7F">
        <w:rPr>
          <w:rFonts w:ascii="Times New Roman" w:hAnsi="Times New Roman" w:cs="Times New Roman"/>
        </w:rPr>
        <w:t xml:space="preserve">], presented in the SDR </w:t>
      </w:r>
      <w:r w:rsidR="00CD3A49">
        <w:rPr>
          <w:rFonts w:ascii="Times New Roman" w:hAnsi="Times New Roman" w:cs="Times New Roman"/>
        </w:rPr>
        <w:t xml:space="preserve">validated </w:t>
      </w:r>
      <w:r w:rsidR="00F40873" w:rsidRPr="00570A7F">
        <w:rPr>
          <w:rFonts w:ascii="Times New Roman" w:hAnsi="Times New Roman" w:cs="Times New Roman"/>
        </w:rPr>
        <w:t xml:space="preserve">product review meeting by the </w:t>
      </w:r>
      <w:r w:rsidR="00E41B6D">
        <w:rPr>
          <w:rFonts w:ascii="Times New Roman" w:hAnsi="Times New Roman" w:cs="Times New Roman"/>
        </w:rPr>
        <w:t>ATMS</w:t>
      </w:r>
      <w:r w:rsidR="00F40873" w:rsidRPr="00570A7F">
        <w:rPr>
          <w:rFonts w:ascii="Times New Roman" w:hAnsi="Times New Roman" w:cs="Times New Roman"/>
        </w:rPr>
        <w:t xml:space="preserve"> SDR team and </w:t>
      </w:r>
      <w:r w:rsidR="000553B3">
        <w:rPr>
          <w:rFonts w:ascii="Times New Roman" w:hAnsi="Times New Roman" w:cs="Times New Roman"/>
        </w:rPr>
        <w:t xml:space="preserve">data product </w:t>
      </w:r>
      <w:r w:rsidR="00F40873" w:rsidRPr="00570A7F">
        <w:rPr>
          <w:rFonts w:ascii="Times New Roman" w:hAnsi="Times New Roman" w:cs="Times New Roman"/>
        </w:rPr>
        <w:t>users.</w:t>
      </w:r>
    </w:p>
    <w:p w:rsidR="00337FDC" w:rsidRPr="00337FDC" w:rsidRDefault="00337FDC" w:rsidP="00337FDC">
      <w:pPr>
        <w:rPr>
          <w:lang w:eastAsia="en-US"/>
        </w:rPr>
      </w:pPr>
    </w:p>
    <w:p w:rsidR="003B39D1" w:rsidRPr="00570A7F" w:rsidRDefault="00113DEB" w:rsidP="0074545A">
      <w:pPr>
        <w:pStyle w:val="CM5"/>
        <w:spacing w:before="240" w:after="137"/>
        <w:jc w:val="both"/>
        <w:rPr>
          <w:rFonts w:ascii="Times New Roman" w:hAnsi="Times New Roman" w:cs="Times New Roman"/>
          <w:u w:val="single"/>
        </w:rPr>
      </w:pPr>
      <w:r w:rsidRPr="00570A7F">
        <w:rPr>
          <w:rFonts w:ascii="Times New Roman" w:hAnsi="Times New Roman" w:cs="Times New Roman"/>
          <w:u w:val="single"/>
        </w:rPr>
        <w:t>The</w:t>
      </w:r>
      <w:r w:rsidR="00337FDC">
        <w:rPr>
          <w:rFonts w:ascii="Times New Roman" w:hAnsi="Times New Roman" w:cs="Times New Roman"/>
          <w:u w:val="single"/>
        </w:rPr>
        <w:t xml:space="preserve"> products</w:t>
      </w:r>
      <w:r w:rsidR="001C69F3" w:rsidRPr="00570A7F">
        <w:rPr>
          <w:rFonts w:ascii="Times New Roman" w:hAnsi="Times New Roman" w:cs="Times New Roman"/>
          <w:u w:val="single"/>
        </w:rPr>
        <w:t xml:space="preserve"> </w:t>
      </w:r>
      <w:r w:rsidRPr="00570A7F">
        <w:rPr>
          <w:rFonts w:ascii="Times New Roman" w:hAnsi="Times New Roman" w:cs="Times New Roman"/>
          <w:u w:val="single"/>
        </w:rPr>
        <w:t>ha</w:t>
      </w:r>
      <w:r w:rsidR="00337FDC">
        <w:rPr>
          <w:rFonts w:ascii="Times New Roman" w:hAnsi="Times New Roman" w:cs="Times New Roman"/>
          <w:u w:val="single"/>
        </w:rPr>
        <w:t>ve</w:t>
      </w:r>
      <w:r w:rsidRPr="00570A7F">
        <w:rPr>
          <w:rFonts w:ascii="Times New Roman" w:hAnsi="Times New Roman" w:cs="Times New Roman"/>
          <w:u w:val="single"/>
        </w:rPr>
        <w:t xml:space="preserve"> </w:t>
      </w:r>
      <w:r w:rsidR="00337FDC">
        <w:rPr>
          <w:rFonts w:ascii="Times New Roman" w:hAnsi="Times New Roman" w:cs="Times New Roman"/>
          <w:u w:val="single"/>
        </w:rPr>
        <w:t xml:space="preserve">met </w:t>
      </w:r>
      <w:r w:rsidR="003B39D1" w:rsidRPr="00570A7F">
        <w:rPr>
          <w:rFonts w:ascii="Times New Roman" w:hAnsi="Times New Roman" w:cs="Times New Roman"/>
          <w:u w:val="single"/>
        </w:rPr>
        <w:t>the specifications</w:t>
      </w:r>
    </w:p>
    <w:p w:rsidR="00337FDC" w:rsidRDefault="00337FDC" w:rsidP="0074545A">
      <w:pPr>
        <w:suppressAutoHyphens w:val="0"/>
        <w:autoSpaceDE w:val="0"/>
        <w:autoSpaceDN w:val="0"/>
        <w:adjustRightInd w:val="0"/>
        <w:jc w:val="both"/>
      </w:pPr>
    </w:p>
    <w:p w:rsidR="00B27B78" w:rsidRPr="00570A7F" w:rsidRDefault="001C69F3" w:rsidP="00710E03">
      <w:pPr>
        <w:suppressAutoHyphens w:val="0"/>
        <w:autoSpaceDE w:val="0"/>
        <w:autoSpaceDN w:val="0"/>
        <w:adjustRightInd w:val="0"/>
        <w:ind w:firstLine="360"/>
        <w:jc w:val="both"/>
      </w:pPr>
      <w:r w:rsidRPr="00570A7F">
        <w:t xml:space="preserve">The following table lists the SDR specifications </w:t>
      </w:r>
      <w:r w:rsidR="00FA0E98" w:rsidRPr="00570A7F">
        <w:t xml:space="preserve">in black color </w:t>
      </w:r>
      <w:r w:rsidRPr="00570A7F">
        <w:t>and the</w:t>
      </w:r>
      <w:r w:rsidR="00FA0E98" w:rsidRPr="00570A7F">
        <w:t xml:space="preserve"> corresponding </w:t>
      </w:r>
      <w:r w:rsidR="00EA2633">
        <w:t>on-</w:t>
      </w:r>
      <w:r w:rsidR="00DE3370">
        <w:t>orbit</w:t>
      </w:r>
      <w:r w:rsidR="00EA2633">
        <w:t xml:space="preserve"> </w:t>
      </w:r>
      <w:r w:rsidR="00FA0E98" w:rsidRPr="00570A7F">
        <w:t>Cal</w:t>
      </w:r>
      <w:r w:rsidR="00E1036F">
        <w:t>/</w:t>
      </w:r>
      <w:r w:rsidR="00FA0E98" w:rsidRPr="00570A7F">
        <w:t>Val values the SDR team deriv</w:t>
      </w:r>
      <w:r w:rsidR="00EA2633">
        <w:t>ed from the</w:t>
      </w:r>
      <w:r w:rsidR="00DE3370">
        <w:t xml:space="preserve"> data in red</w:t>
      </w:r>
      <w:r w:rsidR="00FA0E98" w:rsidRPr="00570A7F">
        <w:t xml:space="preserve"> color</w:t>
      </w:r>
      <w:r w:rsidR="008E1D6D" w:rsidRPr="00570A7F">
        <w:t xml:space="preserve">. </w:t>
      </w:r>
      <w:r w:rsidR="00FA0E98" w:rsidRPr="00570A7F">
        <w:t xml:space="preserve"> </w:t>
      </w:r>
      <w:r w:rsidRPr="00570A7F">
        <w:t xml:space="preserve"> </w:t>
      </w:r>
      <w:r w:rsidR="004C39E2" w:rsidRPr="00570A7F">
        <w:t xml:space="preserve">The SDRs </w:t>
      </w:r>
      <w:r w:rsidR="00337FDC">
        <w:t xml:space="preserve">calibration results </w:t>
      </w:r>
      <w:r w:rsidR="004C39E2" w:rsidRPr="00570A7F">
        <w:t>are</w:t>
      </w:r>
      <w:r w:rsidR="004C39E2" w:rsidRPr="00570A7F">
        <w:rPr>
          <w:rFonts w:eastAsia="Times New Roman"/>
          <w:lang w:eastAsia="en-US"/>
        </w:rPr>
        <w:t xml:space="preserve"> well within </w:t>
      </w:r>
      <w:r w:rsidR="00F40873" w:rsidRPr="00570A7F">
        <w:rPr>
          <w:rFonts w:eastAsia="Times New Roman"/>
          <w:lang w:eastAsia="en-US"/>
        </w:rPr>
        <w:t xml:space="preserve">the </w:t>
      </w:r>
      <w:r w:rsidR="004C39E2" w:rsidRPr="00570A7F">
        <w:rPr>
          <w:rFonts w:eastAsia="Times New Roman"/>
          <w:lang w:eastAsia="en-US"/>
        </w:rPr>
        <w:t>specification</w:t>
      </w:r>
      <w:r w:rsidR="00F40873" w:rsidRPr="00570A7F">
        <w:rPr>
          <w:rFonts w:eastAsia="Times New Roman"/>
          <w:lang w:eastAsia="en-US"/>
        </w:rPr>
        <w:t>s</w:t>
      </w:r>
      <w:r w:rsidR="004C39E2" w:rsidRPr="00570A7F">
        <w:rPr>
          <w:rFonts w:eastAsia="Times New Roman"/>
          <w:lang w:eastAsia="en-US"/>
        </w:rPr>
        <w:t xml:space="preserve">. </w:t>
      </w:r>
      <w:r w:rsidR="00B27B78" w:rsidRPr="00570A7F">
        <w:t>These Cal</w:t>
      </w:r>
      <w:r w:rsidR="00E1036F">
        <w:t>/</w:t>
      </w:r>
      <w:r w:rsidR="00B27B78" w:rsidRPr="00570A7F">
        <w:t xml:space="preserve">Val values in the table are derived with rigorous methods on </w:t>
      </w:r>
      <w:r w:rsidR="00F40873" w:rsidRPr="00570A7F">
        <w:t>the</w:t>
      </w:r>
      <w:r w:rsidR="004D31B6">
        <w:t xml:space="preserve"> data collected </w:t>
      </w:r>
      <w:r w:rsidR="00E605F6">
        <w:t>since the launch of S-NPP</w:t>
      </w:r>
      <w:r w:rsidR="00B27B78" w:rsidRPr="00570A7F">
        <w:t>. The NE</w:t>
      </w:r>
      <w:r w:rsidR="002009BC">
        <w:t>∆T</w:t>
      </w:r>
      <w:r w:rsidR="00B27B78" w:rsidRPr="00570A7F">
        <w:t xml:space="preserve"> values are estimated from</w:t>
      </w:r>
      <w:r w:rsidR="00A72450">
        <w:t xml:space="preserve"> Space View Count, Warm Target Count, and PRT temperatures</w:t>
      </w:r>
      <w:r w:rsidR="00B27B78" w:rsidRPr="00570A7F">
        <w:t xml:space="preserve">. Not only </w:t>
      </w:r>
      <w:r w:rsidR="00266088" w:rsidRPr="00570A7F">
        <w:t>is the NE∆T</w:t>
      </w:r>
      <w:r w:rsidR="004B5D70" w:rsidRPr="00570A7F">
        <w:t xml:space="preserve"> evaluated but also its stability with time, which </w:t>
      </w:r>
      <w:r w:rsidR="00094B51" w:rsidRPr="00570A7F">
        <w:t>is</w:t>
      </w:r>
      <w:r w:rsidR="004B5D70" w:rsidRPr="00570A7F">
        <w:t xml:space="preserve"> </w:t>
      </w:r>
      <w:r w:rsidR="00E1036F">
        <w:t xml:space="preserve">very </w:t>
      </w:r>
      <w:r w:rsidR="00733C01">
        <w:t xml:space="preserve">stable </w:t>
      </w:r>
      <w:r w:rsidR="00E1036F">
        <w:t xml:space="preserve">as </w:t>
      </w:r>
      <w:r w:rsidR="00482B12">
        <w:t xml:space="preserve">shown in </w:t>
      </w:r>
      <w:r w:rsidR="00E1036F">
        <w:t xml:space="preserve">the </w:t>
      </w:r>
      <w:r w:rsidR="00482B12">
        <w:t>ICVS-LTM product</w:t>
      </w:r>
      <w:r w:rsidR="00C53143">
        <w:t>s</w:t>
      </w:r>
      <w:r w:rsidR="004B5D70" w:rsidRPr="00570A7F">
        <w:t xml:space="preserve">. The </w:t>
      </w:r>
      <w:r w:rsidR="00ED3F58">
        <w:t>TDR global bias</w:t>
      </w:r>
      <w:r w:rsidR="00894447">
        <w:t xml:space="preserve"> </w:t>
      </w:r>
      <w:r w:rsidR="00292FCB">
        <w:t>has been</w:t>
      </w:r>
      <w:r w:rsidR="00DE4B06">
        <w:t xml:space="preserve"> </w:t>
      </w:r>
      <w:r w:rsidR="00894447">
        <w:t xml:space="preserve">estimated at each </w:t>
      </w:r>
      <w:r w:rsidR="004B5D70" w:rsidRPr="00570A7F">
        <w:t xml:space="preserve">FOV </w:t>
      </w:r>
      <w:r w:rsidR="00DE4B06">
        <w:t>by</w:t>
      </w:r>
      <w:r w:rsidR="00DE4B06" w:rsidRPr="00570A7F">
        <w:t xml:space="preserve"> </w:t>
      </w:r>
      <w:r w:rsidR="004B5D70" w:rsidRPr="00570A7F">
        <w:t>the radiative transfer model</w:t>
      </w:r>
      <w:r w:rsidR="00F40873" w:rsidRPr="00570A7F">
        <w:t>s</w:t>
      </w:r>
      <w:r w:rsidR="004C39E2" w:rsidRPr="00570A7F">
        <w:t xml:space="preserve"> (RTM)</w:t>
      </w:r>
      <w:r w:rsidR="00894447">
        <w:t xml:space="preserve"> with ECMWF forecast background</w:t>
      </w:r>
      <w:r w:rsidR="002F4B21">
        <w:t xml:space="preserve">. </w:t>
      </w:r>
      <w:r w:rsidR="00E7731E" w:rsidRPr="00570A7F">
        <w:t>The details of the uncertainty assessments and results can be found in the attached team member presentations</w:t>
      </w:r>
      <w:r w:rsidR="000725F9" w:rsidRPr="00570A7F">
        <w:t xml:space="preserve"> [1] – [</w:t>
      </w:r>
      <w:r w:rsidR="00B527E1">
        <w:t>15</w:t>
      </w:r>
      <w:r w:rsidR="001E416F" w:rsidRPr="00570A7F">
        <w:t>]</w:t>
      </w:r>
      <w:r w:rsidR="00E7731E" w:rsidRPr="00570A7F">
        <w:t>.</w:t>
      </w:r>
    </w:p>
    <w:p w:rsidR="008E1D6D" w:rsidRPr="00570A7F" w:rsidRDefault="008E1D6D" w:rsidP="008E1D6D">
      <w:pPr>
        <w:pStyle w:val="ListParagraph"/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E1D6D" w:rsidRDefault="009901D4" w:rsidP="000E2049">
      <w:pPr>
        <w:jc w:val="center"/>
        <w:rPr>
          <w:b/>
          <w:lang w:eastAsia="en-US"/>
        </w:rPr>
      </w:pPr>
      <w:r w:rsidRPr="00982FD1">
        <w:rPr>
          <w:b/>
          <w:lang w:eastAsia="en-US"/>
        </w:rPr>
        <w:t>Table-</w:t>
      </w:r>
      <w:r w:rsidR="008E1D6D" w:rsidRPr="00982FD1">
        <w:rPr>
          <w:b/>
          <w:lang w:eastAsia="en-US"/>
        </w:rPr>
        <w:t xml:space="preserve">1. </w:t>
      </w:r>
      <w:r w:rsidR="00440E23" w:rsidRPr="00982FD1">
        <w:rPr>
          <w:b/>
          <w:lang w:eastAsia="en-US"/>
        </w:rPr>
        <w:t>ATMS</w:t>
      </w:r>
      <w:r w:rsidR="004071C0" w:rsidRPr="00982FD1">
        <w:rPr>
          <w:b/>
          <w:lang w:eastAsia="en-US"/>
        </w:rPr>
        <w:t xml:space="preserve"> SDR specifications (black</w:t>
      </w:r>
      <w:r w:rsidR="008E1D6D" w:rsidRPr="00982FD1">
        <w:rPr>
          <w:b/>
          <w:lang w:eastAsia="en-US"/>
        </w:rPr>
        <w:t xml:space="preserve">) and the </w:t>
      </w:r>
      <w:r w:rsidR="004071C0" w:rsidRPr="00982FD1">
        <w:rPr>
          <w:b/>
          <w:lang w:eastAsia="en-US"/>
        </w:rPr>
        <w:t>on-orbit</w:t>
      </w:r>
      <w:r w:rsidR="00AB5542" w:rsidRPr="00982FD1">
        <w:rPr>
          <w:b/>
          <w:lang w:eastAsia="en-US"/>
        </w:rPr>
        <w:t xml:space="preserve"> values</w:t>
      </w:r>
      <w:r w:rsidR="00BA7C98" w:rsidRPr="00982FD1">
        <w:rPr>
          <w:b/>
          <w:lang w:eastAsia="en-US"/>
        </w:rPr>
        <w:t xml:space="preserve"> from ICVS</w:t>
      </w:r>
      <w:r w:rsidR="00AB5542" w:rsidRPr="00982FD1">
        <w:rPr>
          <w:b/>
          <w:lang w:eastAsia="en-US"/>
        </w:rPr>
        <w:t xml:space="preserve"> (</w:t>
      </w:r>
      <w:r w:rsidR="00440E23" w:rsidRPr="00982FD1">
        <w:rPr>
          <w:b/>
          <w:lang w:eastAsia="en-US"/>
        </w:rPr>
        <w:t>Red</w:t>
      </w:r>
      <w:r w:rsidR="008E1D6D" w:rsidRPr="00982FD1">
        <w:rPr>
          <w:b/>
          <w:lang w:eastAsia="en-US"/>
        </w:rPr>
        <w:t>)</w:t>
      </w:r>
    </w:p>
    <w:p w:rsidR="00622D3B" w:rsidRPr="00982FD1" w:rsidRDefault="00622D3B" w:rsidP="000E2049">
      <w:pPr>
        <w:jc w:val="center"/>
        <w:rPr>
          <w:b/>
          <w:lang w:eastAsia="en-US"/>
        </w:rPr>
      </w:pPr>
    </w:p>
    <w:tbl>
      <w:tblPr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729"/>
        <w:gridCol w:w="1481"/>
        <w:gridCol w:w="1457"/>
        <w:gridCol w:w="1260"/>
        <w:gridCol w:w="1170"/>
        <w:gridCol w:w="1890"/>
      </w:tblGrid>
      <w:tr w:rsidR="00BA7C98" w:rsidRPr="003F0B4E" w:rsidTr="00710E03">
        <w:trPr>
          <w:trHeight w:val="776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#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Channel</w:t>
            </w:r>
          </w:p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Freq.</w:t>
            </w:r>
          </w:p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(MHz)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Calibration</w:t>
            </w:r>
          </w:p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Accuracy</w:t>
            </w:r>
          </w:p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(K)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Nonlinearity</w:t>
            </w:r>
          </w:p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Max.</w:t>
            </w:r>
          </w:p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(K)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NEΔT</w:t>
            </w:r>
          </w:p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(K)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3-dB</w:t>
            </w:r>
          </w:p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BW*</w:t>
            </w:r>
          </w:p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(deg)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jc w:val="center"/>
              <w:rPr>
                <w:b/>
                <w:bCs/>
                <w:color w:val="5F497A"/>
              </w:rPr>
            </w:pPr>
            <w:r w:rsidRPr="00257FBB">
              <w:rPr>
                <w:color w:val="5F497A"/>
              </w:rPr>
              <w:t>Equivalent AMSU-A/B</w:t>
            </w:r>
            <w:r w:rsidR="00F61E69">
              <w:rPr>
                <w:color w:val="5F497A"/>
              </w:rPr>
              <w:t>/#</w:t>
            </w:r>
          </w:p>
        </w:tc>
      </w:tr>
      <w:tr w:rsidR="00BA7C98" w:rsidRPr="003F0B4E" w:rsidTr="00403E17">
        <w:trPr>
          <w:trHeight w:val="358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23800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0.24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5.2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AMSU-A2</w:t>
            </w:r>
            <w:r w:rsidR="00F61E69">
              <w:rPr>
                <w:color w:val="000000"/>
              </w:rPr>
              <w:t>/1</w:t>
            </w:r>
          </w:p>
        </w:tc>
      </w:tr>
      <w:tr w:rsidR="00BA7C98" w:rsidRPr="003F0B4E" w:rsidTr="00403E17">
        <w:trPr>
          <w:trHeight w:val="261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2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31400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0.30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5.2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AMSU-A2</w:t>
            </w:r>
            <w:r w:rsidR="00F61E69">
              <w:rPr>
                <w:color w:val="000000"/>
              </w:rPr>
              <w:t>/2</w:t>
            </w:r>
          </w:p>
        </w:tc>
      </w:tr>
      <w:tr w:rsidR="00BA7C98" w:rsidRPr="003F0B4E" w:rsidTr="00403E17">
        <w:trPr>
          <w:trHeight w:val="115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3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50300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0.9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0.35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AMSU-A1-2</w:t>
            </w:r>
            <w:r w:rsidR="00F61E69">
              <w:rPr>
                <w:color w:val="000000"/>
              </w:rPr>
              <w:t>/3</w:t>
            </w:r>
          </w:p>
        </w:tc>
      </w:tr>
      <w:tr w:rsidR="00BA7C98" w:rsidRPr="003F0B4E" w:rsidTr="00403E17">
        <w:trPr>
          <w:trHeight w:val="4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4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51760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0.28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F61E69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BA7C98" w:rsidRPr="003F0B4E" w:rsidTr="00403E17">
        <w:trPr>
          <w:trHeight w:val="4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5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52800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0.26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AMSU-A1-2</w:t>
            </w:r>
            <w:r w:rsidR="00F61E69">
              <w:rPr>
                <w:color w:val="000000"/>
              </w:rPr>
              <w:t>/4</w:t>
            </w:r>
          </w:p>
        </w:tc>
      </w:tr>
      <w:tr w:rsidR="00BA7C98" w:rsidRPr="003F0B4E" w:rsidTr="00403E17">
        <w:trPr>
          <w:trHeight w:val="4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6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53596±115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  <w:r w:rsidRPr="00257FBB">
              <w:rPr>
                <w:color w:val="000000"/>
              </w:rPr>
              <w:t xml:space="preserve"> 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0.2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0.27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AMSU-A1-2</w:t>
            </w:r>
            <w:r w:rsidR="00F61E69">
              <w:rPr>
                <w:color w:val="000000"/>
              </w:rPr>
              <w:t>/5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7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54400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  <w:r w:rsidRPr="00257FBB">
              <w:rPr>
                <w:color w:val="000000"/>
              </w:rPr>
              <w:t xml:space="preserve"> 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0.2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0.26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AMSU-A1-1</w:t>
            </w:r>
            <w:r w:rsidR="00F61E69">
              <w:rPr>
                <w:color w:val="000000"/>
              </w:rPr>
              <w:t>/6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8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54940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  <w:r w:rsidRPr="00257FBB">
              <w:rPr>
                <w:color w:val="000000"/>
              </w:rPr>
              <w:t xml:space="preserve"> 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0.4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0D439F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D439F">
              <w:rPr>
                <w:color w:val="000000"/>
              </w:rPr>
              <w:t>7</w:t>
            </w:r>
            <w:r w:rsidRPr="00257FBB">
              <w:rPr>
                <w:color w:val="000000"/>
              </w:rPr>
              <w:t>(</w:t>
            </w:r>
            <w:r w:rsidRPr="00257FBB">
              <w:rPr>
                <w:color w:val="FF0000"/>
              </w:rPr>
              <w:t>0.25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AMSU-A1-1</w:t>
            </w:r>
            <w:r w:rsidR="00F61E69">
              <w:rPr>
                <w:color w:val="000000"/>
              </w:rPr>
              <w:t>/7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9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55500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  <w:r w:rsidRPr="00257FBB">
              <w:rPr>
                <w:color w:val="000000"/>
              </w:rPr>
              <w:t xml:space="preserve"> 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0.5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0.28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AMSU-A1-2</w:t>
            </w:r>
            <w:r w:rsidR="00163BEA">
              <w:rPr>
                <w:color w:val="000000"/>
              </w:rPr>
              <w:t>/8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10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f</w:t>
            </w:r>
            <w:r w:rsidRPr="00257FBB">
              <w:rPr>
                <w:color w:val="000000"/>
                <w:vertAlign w:val="subscript"/>
              </w:rPr>
              <w:t>o</w:t>
            </w:r>
            <w:r w:rsidRPr="00257FBB">
              <w:rPr>
                <w:color w:val="000000"/>
              </w:rPr>
              <w:t>=57290.344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  <w:r w:rsidRPr="00257FBB">
              <w:rPr>
                <w:color w:val="000000"/>
              </w:rPr>
              <w:t xml:space="preserve"> 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0.3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0.75(</w:t>
            </w:r>
            <w:r w:rsidRPr="00257FBB">
              <w:rPr>
                <w:color w:val="FF0000"/>
              </w:rPr>
              <w:t>0.40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AMSU-A1-1</w:t>
            </w:r>
            <w:r w:rsidR="00163BEA">
              <w:rPr>
                <w:color w:val="000000"/>
              </w:rPr>
              <w:t>/9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11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f</w:t>
            </w:r>
            <w:r w:rsidRPr="00257FBB">
              <w:rPr>
                <w:color w:val="000000"/>
                <w:vertAlign w:val="subscript"/>
              </w:rPr>
              <w:t>o</w:t>
            </w:r>
            <w:r w:rsidRPr="00257FBB">
              <w:rPr>
                <w:color w:val="000000"/>
              </w:rPr>
              <w:t xml:space="preserve"> ± 217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  <w:r w:rsidRPr="00257FBB">
              <w:rPr>
                <w:color w:val="000000"/>
              </w:rPr>
              <w:t xml:space="preserve"> 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0.3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0.52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AMSU-A1-1</w:t>
            </w:r>
            <w:r w:rsidR="00163BEA">
              <w:rPr>
                <w:color w:val="000000"/>
              </w:rPr>
              <w:t>/10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12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f</w:t>
            </w:r>
            <w:r w:rsidRPr="00257FBB">
              <w:rPr>
                <w:color w:val="000000"/>
                <w:vertAlign w:val="subscript"/>
              </w:rPr>
              <w:t>o</w:t>
            </w:r>
            <w:r w:rsidRPr="00257FBB">
              <w:rPr>
                <w:color w:val="000000"/>
              </w:rPr>
              <w:t xml:space="preserve"> ±322.2±48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  <w:r w:rsidRPr="00257FBB">
              <w:rPr>
                <w:color w:val="000000"/>
              </w:rPr>
              <w:t xml:space="preserve"> 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0.3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0.55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AMSU-A1-1</w:t>
            </w:r>
            <w:r w:rsidR="00163BEA">
              <w:rPr>
                <w:color w:val="000000"/>
              </w:rPr>
              <w:t>/11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13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f</w:t>
            </w:r>
            <w:r w:rsidRPr="00257FBB">
              <w:rPr>
                <w:color w:val="000000"/>
                <w:vertAlign w:val="subscript"/>
              </w:rPr>
              <w:t>o</w:t>
            </w:r>
            <w:r w:rsidRPr="00257FBB">
              <w:rPr>
                <w:color w:val="000000"/>
              </w:rPr>
              <w:t xml:space="preserve"> ±322.2±22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  <w:r w:rsidRPr="00257FBB">
              <w:rPr>
                <w:color w:val="000000"/>
              </w:rPr>
              <w:t xml:space="preserve"> 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0.1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1.5(</w:t>
            </w:r>
            <w:r w:rsidRPr="00257FBB">
              <w:rPr>
                <w:color w:val="FF0000"/>
              </w:rPr>
              <w:t>0.80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AMSU-A1-1</w:t>
            </w:r>
            <w:r w:rsidR="00163BEA">
              <w:rPr>
                <w:color w:val="000000"/>
              </w:rPr>
              <w:t>/12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14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f</w:t>
            </w:r>
            <w:r w:rsidRPr="00257FBB">
              <w:rPr>
                <w:color w:val="000000"/>
                <w:vertAlign w:val="subscript"/>
              </w:rPr>
              <w:t>o</w:t>
            </w:r>
            <w:r w:rsidRPr="00257FBB">
              <w:rPr>
                <w:color w:val="000000"/>
              </w:rPr>
              <w:t xml:space="preserve"> ±322.2±10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1.13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AMSU-A1-1</w:t>
            </w:r>
            <w:r w:rsidR="00163BEA">
              <w:rPr>
                <w:color w:val="000000"/>
              </w:rPr>
              <w:t>/13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15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f</w:t>
            </w:r>
            <w:r w:rsidRPr="00257FBB">
              <w:rPr>
                <w:color w:val="000000"/>
                <w:vertAlign w:val="subscript"/>
              </w:rPr>
              <w:t>o</w:t>
            </w:r>
            <w:r w:rsidRPr="00257FBB">
              <w:rPr>
                <w:color w:val="000000"/>
              </w:rPr>
              <w:t xml:space="preserve"> ±322.2±4.5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3.6(</w:t>
            </w:r>
            <w:r w:rsidRPr="00257FBB">
              <w:rPr>
                <w:color w:val="FF0000"/>
              </w:rPr>
              <w:t>1.82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AMSU-A1-1</w:t>
            </w:r>
            <w:r w:rsidR="00163BEA">
              <w:rPr>
                <w:color w:val="000000"/>
              </w:rPr>
              <w:t>/14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16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88200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="00BA7C98" w:rsidRPr="00257FBB">
              <w:rPr>
                <w:color w:val="000000"/>
              </w:rPr>
              <w:t>(</w:t>
            </w:r>
            <w:r w:rsidR="00BA7C98" w:rsidRPr="00257FBB">
              <w:rPr>
                <w:color w:val="FF0000"/>
              </w:rPr>
              <w:t>0.27</w:t>
            </w:r>
            <w:r w:rsidR="00BA7C98"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2.2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163BEA" w:rsidRDefault="00BA7C98" w:rsidP="00403E17">
            <w:pPr>
              <w:spacing w:before="100" w:after="100" w:line="40" w:lineRule="atLeast"/>
              <w:jc w:val="center"/>
              <w:rPr>
                <w:color w:val="000000"/>
                <w:sz w:val="20"/>
                <w:szCs w:val="20"/>
              </w:rPr>
            </w:pPr>
            <w:r w:rsidRPr="00163BEA">
              <w:rPr>
                <w:color w:val="000000"/>
                <w:sz w:val="20"/>
                <w:szCs w:val="20"/>
              </w:rPr>
              <w:t>89000</w:t>
            </w:r>
            <w:r w:rsidR="00163BEA" w:rsidRPr="00163BEA">
              <w:rPr>
                <w:color w:val="000000"/>
                <w:sz w:val="20"/>
                <w:szCs w:val="20"/>
              </w:rPr>
              <w:t xml:space="preserve"> (</w:t>
            </w:r>
            <w:r w:rsidR="00FE0E4D">
              <w:rPr>
                <w:color w:val="000000"/>
                <w:sz w:val="20"/>
                <w:szCs w:val="20"/>
              </w:rPr>
              <w:t xml:space="preserve">A1-1/15, </w:t>
            </w:r>
            <w:r w:rsidR="00163BEA" w:rsidRPr="00163BEA">
              <w:rPr>
                <w:color w:val="000000"/>
                <w:sz w:val="20"/>
                <w:szCs w:val="20"/>
              </w:rPr>
              <w:t>B16)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17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165500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0.6(</w:t>
            </w:r>
            <w:r w:rsidRPr="00257FBB">
              <w:rPr>
                <w:color w:val="FF0000"/>
              </w:rPr>
              <w:t>0.40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1.1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15</w:t>
            </w:r>
            <w:r w:rsidR="00163BEA">
              <w:rPr>
                <w:color w:val="000000"/>
              </w:rPr>
              <w:t>0</w:t>
            </w:r>
            <w:r w:rsidRPr="00257FBB">
              <w:rPr>
                <w:color w:val="000000"/>
              </w:rPr>
              <w:t>000</w:t>
            </w:r>
            <w:r w:rsidR="00163BEA">
              <w:rPr>
                <w:color w:val="000000"/>
              </w:rPr>
              <w:t xml:space="preserve"> (B/17)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18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183310± 7000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0.8(</w:t>
            </w:r>
            <w:r w:rsidRPr="00257FBB">
              <w:rPr>
                <w:color w:val="FF0000"/>
              </w:rPr>
              <w:t>0.36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1.1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AMSU-B</w:t>
            </w:r>
            <w:r w:rsidR="00163BEA">
              <w:rPr>
                <w:color w:val="000000"/>
              </w:rPr>
              <w:t>/20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19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183310± 4500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0.8(</w:t>
            </w:r>
            <w:r w:rsidRPr="00257FBB">
              <w:rPr>
                <w:color w:val="FF0000"/>
              </w:rPr>
              <w:t>0.43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1.1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163BEA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20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183310± 3000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0.8(</w:t>
            </w:r>
            <w:r w:rsidRPr="00257FBB">
              <w:rPr>
                <w:color w:val="FF0000"/>
              </w:rPr>
              <w:t>0.51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1.1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AMSU-B</w:t>
            </w:r>
            <w:r w:rsidR="00163BEA">
              <w:rPr>
                <w:color w:val="000000"/>
              </w:rPr>
              <w:t>/19</w:t>
            </w:r>
          </w:p>
        </w:tc>
      </w:tr>
      <w:tr w:rsidR="00BA7C98" w:rsidRPr="003F0B4E" w:rsidTr="00403E17">
        <w:trPr>
          <w:trHeight w:val="532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21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183310± 1800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0.8(</w:t>
            </w:r>
            <w:r w:rsidRPr="00257FBB">
              <w:rPr>
                <w:color w:val="FF0000"/>
              </w:rPr>
              <w:t>0.55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1.1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163BEA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BA7C98" w:rsidRPr="003F0B4E" w:rsidTr="00403E17">
        <w:trPr>
          <w:trHeight w:val="59"/>
        </w:trPr>
        <w:tc>
          <w:tcPr>
            <w:tcW w:w="661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b/>
                <w:bCs/>
                <w:color w:val="000000"/>
              </w:rPr>
            </w:pPr>
            <w:r w:rsidRPr="00257FBB">
              <w:rPr>
                <w:color w:val="000000"/>
              </w:rPr>
              <w:t>22</w:t>
            </w:r>
          </w:p>
        </w:tc>
        <w:tc>
          <w:tcPr>
            <w:tcW w:w="1729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183310± 1000</w:t>
            </w:r>
          </w:p>
        </w:tc>
        <w:tc>
          <w:tcPr>
            <w:tcW w:w="1481" w:type="dxa"/>
            <w:shd w:val="clear" w:color="auto" w:fill="D3DFEE"/>
            <w:vAlign w:val="center"/>
            <w:hideMark/>
          </w:tcPr>
          <w:p w:rsidR="00BA7C98" w:rsidRPr="00257FBB" w:rsidRDefault="000D439F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457" w:type="dxa"/>
            <w:shd w:val="clear" w:color="auto" w:fill="D3DFEE"/>
            <w:vAlign w:val="center"/>
            <w:hideMark/>
          </w:tcPr>
          <w:p w:rsidR="00BA7C98" w:rsidRPr="00257FBB" w:rsidRDefault="00BA7C98" w:rsidP="00070075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</w:t>
            </w:r>
            <w:r w:rsidR="00070075">
              <w:rPr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0.9(</w:t>
            </w:r>
            <w:r w:rsidRPr="00257FBB">
              <w:rPr>
                <w:color w:val="FF0000"/>
              </w:rPr>
              <w:t>0.70</w:t>
            </w:r>
            <w:r w:rsidRPr="00257FBB">
              <w:rPr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1.1</w:t>
            </w:r>
          </w:p>
        </w:tc>
        <w:tc>
          <w:tcPr>
            <w:tcW w:w="1890" w:type="dxa"/>
            <w:shd w:val="clear" w:color="auto" w:fill="D3DFEE"/>
            <w:vAlign w:val="center"/>
            <w:hideMark/>
          </w:tcPr>
          <w:p w:rsidR="00BA7C98" w:rsidRPr="00257FBB" w:rsidRDefault="00BA7C98" w:rsidP="00403E17">
            <w:pPr>
              <w:spacing w:before="100" w:after="100" w:line="40" w:lineRule="atLeast"/>
              <w:jc w:val="center"/>
              <w:rPr>
                <w:color w:val="000000"/>
              </w:rPr>
            </w:pPr>
            <w:r w:rsidRPr="00257FBB">
              <w:rPr>
                <w:color w:val="000000"/>
              </w:rPr>
              <w:t>AMSU-B</w:t>
            </w:r>
            <w:r w:rsidR="00163BEA">
              <w:rPr>
                <w:color w:val="000000"/>
              </w:rPr>
              <w:t>/18</w:t>
            </w:r>
          </w:p>
        </w:tc>
      </w:tr>
    </w:tbl>
    <w:p w:rsidR="00BA7C98" w:rsidRDefault="00BA7C98" w:rsidP="000E2049">
      <w:pPr>
        <w:jc w:val="center"/>
        <w:rPr>
          <w:lang w:eastAsia="en-US"/>
        </w:rPr>
      </w:pPr>
    </w:p>
    <w:p w:rsidR="003B39D1" w:rsidRPr="00570A7F" w:rsidRDefault="008E1D6D" w:rsidP="00AD1309">
      <w:pPr>
        <w:pStyle w:val="CM5"/>
        <w:spacing w:before="240" w:after="137"/>
        <w:rPr>
          <w:rFonts w:ascii="Times New Roman" w:hAnsi="Times New Roman" w:cs="Times New Roman"/>
          <w:u w:val="single"/>
        </w:rPr>
      </w:pPr>
      <w:r w:rsidRPr="00570A7F">
        <w:rPr>
          <w:rFonts w:ascii="Times New Roman" w:hAnsi="Times New Roman" w:cs="Times New Roman"/>
          <w:u w:val="single"/>
        </w:rPr>
        <w:t xml:space="preserve">The </w:t>
      </w:r>
      <w:r w:rsidR="00113DEB" w:rsidRPr="00570A7F">
        <w:rPr>
          <w:rFonts w:ascii="Times New Roman" w:hAnsi="Times New Roman" w:cs="Times New Roman"/>
          <w:u w:val="single"/>
        </w:rPr>
        <w:t xml:space="preserve">remaining issues are not critical to the </w:t>
      </w:r>
      <w:r w:rsidR="004C0E88">
        <w:rPr>
          <w:rFonts w:ascii="Times New Roman" w:hAnsi="Times New Roman" w:cs="Times New Roman"/>
          <w:u w:val="single"/>
        </w:rPr>
        <w:t>validated</w:t>
      </w:r>
      <w:r w:rsidR="00113DEB" w:rsidRPr="00570A7F">
        <w:rPr>
          <w:rFonts w:ascii="Times New Roman" w:hAnsi="Times New Roman" w:cs="Times New Roman"/>
          <w:u w:val="single"/>
        </w:rPr>
        <w:t xml:space="preserve"> product</w:t>
      </w:r>
    </w:p>
    <w:p w:rsidR="00681778" w:rsidRPr="00570A7F" w:rsidRDefault="00681778" w:rsidP="0032564F">
      <w:pPr>
        <w:ind w:firstLine="360"/>
        <w:rPr>
          <w:lang w:eastAsia="en-US"/>
        </w:rPr>
      </w:pPr>
      <w:r w:rsidRPr="00570A7F">
        <w:rPr>
          <w:lang w:eastAsia="en-US"/>
        </w:rPr>
        <w:t>The following are the issues identified by the team. None of them are critical to the SDR product</w:t>
      </w:r>
      <w:r w:rsidR="00E1036F">
        <w:rPr>
          <w:lang w:eastAsia="en-US"/>
        </w:rPr>
        <w:t xml:space="preserve"> for </w:t>
      </w:r>
      <w:r w:rsidR="00735793">
        <w:rPr>
          <w:lang w:eastAsia="en-US"/>
        </w:rPr>
        <w:t>validated</w:t>
      </w:r>
      <w:r w:rsidR="00E1036F">
        <w:rPr>
          <w:lang w:eastAsia="en-US"/>
        </w:rPr>
        <w:t xml:space="preserve"> maturity status</w:t>
      </w:r>
      <w:r w:rsidRPr="00570A7F">
        <w:rPr>
          <w:lang w:eastAsia="en-US"/>
        </w:rPr>
        <w:t xml:space="preserve">. </w:t>
      </w:r>
    </w:p>
    <w:p w:rsidR="00930B23" w:rsidRPr="00570A7F" w:rsidRDefault="008F352B" w:rsidP="00F429EC">
      <w:pPr>
        <w:pStyle w:val="CM5"/>
        <w:numPr>
          <w:ilvl w:val="0"/>
          <w:numId w:val="23"/>
        </w:numPr>
        <w:spacing w:before="240" w:after="137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Beam efficiency </w:t>
      </w:r>
      <w:r w:rsidR="00064182">
        <w:rPr>
          <w:rFonts w:ascii="Times New Roman" w:hAnsi="Times New Roman" w:cs="Times New Roman"/>
        </w:rPr>
        <w:t xml:space="preserve">for </w:t>
      </w:r>
      <w:r w:rsidR="004758B5">
        <w:rPr>
          <w:rFonts w:ascii="Times New Roman" w:hAnsi="Times New Roman" w:cs="Times New Roman"/>
        </w:rPr>
        <w:t>W</w:t>
      </w:r>
      <w:r w:rsidR="00B00B49">
        <w:rPr>
          <w:rFonts w:ascii="Times New Roman" w:hAnsi="Times New Roman" w:cs="Times New Roman"/>
        </w:rPr>
        <w:t>/</w:t>
      </w:r>
      <w:r w:rsidR="00064182">
        <w:rPr>
          <w:rFonts w:ascii="Times New Roman" w:hAnsi="Times New Roman" w:cs="Times New Roman"/>
        </w:rPr>
        <w:t>G-Band channels</w:t>
      </w:r>
    </w:p>
    <w:p w:rsidR="00D44E5C" w:rsidRPr="00BA7C98" w:rsidRDefault="00D44E5C" w:rsidP="0074545A">
      <w:pPr>
        <w:pStyle w:val="CM5"/>
        <w:spacing w:before="240" w:after="137"/>
        <w:ind w:left="720"/>
        <w:jc w:val="both"/>
        <w:rPr>
          <w:rFonts w:ascii="Times New Roman" w:hAnsi="Times New Roman" w:cs="Times New Roman"/>
        </w:rPr>
      </w:pPr>
      <w:r w:rsidRPr="00BA7C98">
        <w:rPr>
          <w:rFonts w:ascii="Times New Roman" w:hAnsi="Times New Roman" w:cs="Times New Roman"/>
        </w:rPr>
        <w:t>The ATMS SDR team is reaching a consensus on the coefficients that</w:t>
      </w:r>
      <w:r w:rsidR="004146FD" w:rsidRPr="00BA7C98">
        <w:rPr>
          <w:rFonts w:ascii="Times New Roman" w:hAnsi="Times New Roman" w:cs="Times New Roman"/>
        </w:rPr>
        <w:t xml:space="preserve"> </w:t>
      </w:r>
      <w:r w:rsidRPr="00BA7C98">
        <w:rPr>
          <w:rFonts w:ascii="Times New Roman" w:hAnsi="Times New Roman" w:cs="Times New Roman"/>
        </w:rPr>
        <w:t xml:space="preserve">convert antenna temperatures to brightness temperatures (TDR to SDR). </w:t>
      </w:r>
      <w:r w:rsidR="0032564F">
        <w:rPr>
          <w:rFonts w:ascii="Times New Roman" w:hAnsi="Times New Roman" w:cs="Times New Roman"/>
        </w:rPr>
        <w:t>However, due to the inconsistence</w:t>
      </w:r>
      <w:r w:rsidR="009F5657">
        <w:rPr>
          <w:rFonts w:ascii="Times New Roman" w:hAnsi="Times New Roman" w:cs="Times New Roman"/>
        </w:rPr>
        <w:t xml:space="preserve"> on G-band beam efficiency coefficients derived from antenna pattern measurements by different team members, no beam efficiency correction has been applied in </w:t>
      </w:r>
      <w:r w:rsidR="004758B5">
        <w:rPr>
          <w:rFonts w:ascii="Times New Roman" w:hAnsi="Times New Roman" w:cs="Times New Roman"/>
        </w:rPr>
        <w:t>TDR to SDR conversion at W</w:t>
      </w:r>
      <w:r w:rsidR="00B00B49">
        <w:rPr>
          <w:rFonts w:ascii="Times New Roman" w:hAnsi="Times New Roman" w:cs="Times New Roman"/>
        </w:rPr>
        <w:t>/</w:t>
      </w:r>
      <w:r w:rsidR="009F5657">
        <w:rPr>
          <w:rFonts w:ascii="Times New Roman" w:hAnsi="Times New Roman" w:cs="Times New Roman"/>
        </w:rPr>
        <w:t xml:space="preserve">G-band channels. </w:t>
      </w:r>
      <w:r w:rsidR="00520B16">
        <w:rPr>
          <w:rFonts w:ascii="Times New Roman" w:hAnsi="Times New Roman" w:cs="Times New Roman"/>
        </w:rPr>
        <w:t xml:space="preserve">The team </w:t>
      </w:r>
      <w:r w:rsidR="004758B5">
        <w:rPr>
          <w:rFonts w:ascii="Times New Roman" w:hAnsi="Times New Roman" w:cs="Times New Roman"/>
        </w:rPr>
        <w:t xml:space="preserve">continues </w:t>
      </w:r>
      <w:r w:rsidR="00520B16">
        <w:rPr>
          <w:rFonts w:ascii="Times New Roman" w:hAnsi="Times New Roman" w:cs="Times New Roman"/>
        </w:rPr>
        <w:t xml:space="preserve"> working on the </w:t>
      </w:r>
      <w:r w:rsidR="0032564F">
        <w:rPr>
          <w:rFonts w:ascii="Times New Roman" w:hAnsi="Times New Roman" w:cs="Times New Roman"/>
        </w:rPr>
        <w:t>antenna pattern</w:t>
      </w:r>
      <w:r w:rsidR="00520B16">
        <w:rPr>
          <w:rFonts w:ascii="Times New Roman" w:hAnsi="Times New Roman" w:cs="Times New Roman"/>
        </w:rPr>
        <w:t xml:space="preserve"> analysis </w:t>
      </w:r>
      <w:r w:rsidR="004758B5">
        <w:rPr>
          <w:rFonts w:ascii="Times New Roman" w:hAnsi="Times New Roman" w:cs="Times New Roman"/>
        </w:rPr>
        <w:t>for W</w:t>
      </w:r>
      <w:r w:rsidR="00B00B49">
        <w:rPr>
          <w:rFonts w:ascii="Times New Roman" w:hAnsi="Times New Roman" w:cs="Times New Roman"/>
        </w:rPr>
        <w:t>/</w:t>
      </w:r>
      <w:r w:rsidR="00520B16">
        <w:rPr>
          <w:rFonts w:ascii="Times New Roman" w:hAnsi="Times New Roman" w:cs="Times New Roman"/>
        </w:rPr>
        <w:t>G-band beam eff</w:t>
      </w:r>
      <w:r w:rsidR="00BD2489">
        <w:rPr>
          <w:rFonts w:ascii="Times New Roman" w:hAnsi="Times New Roman" w:cs="Times New Roman"/>
        </w:rPr>
        <w:t xml:space="preserve">iciency and will </w:t>
      </w:r>
      <w:r w:rsidR="00520B16">
        <w:rPr>
          <w:rFonts w:ascii="Times New Roman" w:hAnsi="Times New Roman" w:cs="Times New Roman"/>
        </w:rPr>
        <w:t xml:space="preserve">update </w:t>
      </w:r>
      <w:r w:rsidR="00931B7B">
        <w:rPr>
          <w:rFonts w:ascii="Times New Roman" w:hAnsi="Times New Roman" w:cs="Times New Roman"/>
        </w:rPr>
        <w:t xml:space="preserve">the </w:t>
      </w:r>
      <w:r w:rsidR="00520B16">
        <w:rPr>
          <w:rFonts w:ascii="Times New Roman" w:hAnsi="Times New Roman" w:cs="Times New Roman"/>
        </w:rPr>
        <w:t>processing coefficient table for IDPS</w:t>
      </w:r>
      <w:r w:rsidR="004758B5">
        <w:rPr>
          <w:rFonts w:ascii="Times New Roman" w:hAnsi="Times New Roman" w:cs="Times New Roman"/>
        </w:rPr>
        <w:t xml:space="preserve"> once a consensus on the analysis method and beam efficiency is reached</w:t>
      </w:r>
      <w:r w:rsidR="004146FD" w:rsidRPr="00BA7C98">
        <w:rPr>
          <w:rFonts w:ascii="Times New Roman" w:hAnsi="Times New Roman" w:cs="Times New Roman"/>
        </w:rPr>
        <w:t>.</w:t>
      </w:r>
    </w:p>
    <w:p w:rsidR="00930B23" w:rsidRDefault="0018762F" w:rsidP="00F429EC">
      <w:pPr>
        <w:pStyle w:val="CM5"/>
        <w:numPr>
          <w:ilvl w:val="0"/>
          <w:numId w:val="23"/>
        </w:numPr>
        <w:spacing w:before="240" w:after="137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TDR/SDR striping </w:t>
      </w:r>
      <w:r w:rsidR="00F71177">
        <w:rPr>
          <w:rFonts w:ascii="Times New Roman" w:hAnsi="Times New Roman" w:cs="Times New Roman"/>
        </w:rPr>
        <w:t>mitigation</w:t>
      </w:r>
    </w:p>
    <w:p w:rsidR="004146FD" w:rsidRPr="004146FD" w:rsidRDefault="004146FD" w:rsidP="0074545A">
      <w:pPr>
        <w:ind w:left="720"/>
        <w:jc w:val="both"/>
        <w:rPr>
          <w:lang w:eastAsia="en-US"/>
        </w:rPr>
      </w:pPr>
      <w:r>
        <w:rPr>
          <w:lang w:eastAsia="en-US"/>
        </w:rPr>
        <w:t>The NWP community noticed a striping artifact in their comparison of ATMS observations minus NWP background</w:t>
      </w:r>
      <w:r w:rsidR="00D9142C">
        <w:rPr>
          <w:lang w:eastAsia="en-US"/>
        </w:rPr>
        <w:t xml:space="preserve"> simulations</w:t>
      </w:r>
      <w:r>
        <w:rPr>
          <w:lang w:eastAsia="en-US"/>
        </w:rPr>
        <w:t xml:space="preserve">, which is not found in the heritage </w:t>
      </w:r>
      <w:r w:rsidR="00BE1B53">
        <w:rPr>
          <w:lang w:eastAsia="en-US"/>
        </w:rPr>
        <w:t xml:space="preserve">AMSU-A </w:t>
      </w:r>
      <w:r>
        <w:rPr>
          <w:lang w:eastAsia="en-US"/>
        </w:rPr>
        <w:t>data</w:t>
      </w:r>
      <w:r w:rsidR="00F769DE">
        <w:rPr>
          <w:lang w:eastAsia="en-US"/>
        </w:rPr>
        <w:t xml:space="preserve"> but in AMSU-B/MHS data</w:t>
      </w:r>
      <w:r>
        <w:rPr>
          <w:lang w:eastAsia="en-US"/>
        </w:rPr>
        <w:t>. The striping</w:t>
      </w:r>
      <w:r w:rsidR="004758B5">
        <w:rPr>
          <w:lang w:eastAsia="en-US"/>
        </w:rPr>
        <w:t xml:space="preserve"> noise is shown as</w:t>
      </w:r>
      <w:r>
        <w:rPr>
          <w:lang w:eastAsia="en-US"/>
        </w:rPr>
        <w:t xml:space="preserve"> 1/f or flicker noise</w:t>
      </w:r>
      <w:r w:rsidR="004758B5">
        <w:rPr>
          <w:lang w:eastAsia="en-US"/>
        </w:rPr>
        <w:t xml:space="preserve"> in the power </w:t>
      </w:r>
      <w:r w:rsidR="00A12179">
        <w:rPr>
          <w:lang w:eastAsia="en-US"/>
        </w:rPr>
        <w:t>spectrum of warm counts</w:t>
      </w:r>
      <w:r>
        <w:rPr>
          <w:lang w:eastAsia="en-US"/>
        </w:rPr>
        <w:t xml:space="preserve">. While </w:t>
      </w:r>
      <w:r w:rsidR="00A12179">
        <w:rPr>
          <w:lang w:eastAsia="en-US"/>
        </w:rPr>
        <w:t xml:space="preserve">overall </w:t>
      </w:r>
      <w:r>
        <w:rPr>
          <w:lang w:eastAsia="en-US"/>
        </w:rPr>
        <w:t xml:space="preserve">ATMS </w:t>
      </w:r>
      <w:r w:rsidR="00A12179">
        <w:rPr>
          <w:lang w:eastAsia="en-US"/>
        </w:rPr>
        <w:t xml:space="preserve">noise </w:t>
      </w:r>
      <w:r>
        <w:rPr>
          <w:lang w:eastAsia="en-US"/>
        </w:rPr>
        <w:t>is still within specifications, the team</w:t>
      </w:r>
      <w:r w:rsidR="00A12179">
        <w:rPr>
          <w:lang w:eastAsia="en-US"/>
        </w:rPr>
        <w:t xml:space="preserve"> continues</w:t>
      </w:r>
      <w:r>
        <w:rPr>
          <w:lang w:eastAsia="en-US"/>
        </w:rPr>
        <w:t xml:space="preserve"> investigating</w:t>
      </w:r>
      <w:r w:rsidR="00A12179">
        <w:rPr>
          <w:lang w:eastAsia="en-US"/>
        </w:rPr>
        <w:t xml:space="preserve"> </w:t>
      </w:r>
      <w:r>
        <w:rPr>
          <w:lang w:eastAsia="en-US"/>
        </w:rPr>
        <w:t>techniques to mitigate the striping artifacts.</w:t>
      </w:r>
    </w:p>
    <w:p w:rsidR="00905894" w:rsidRDefault="00BC4341" w:rsidP="00F429EC">
      <w:pPr>
        <w:pStyle w:val="CM5"/>
        <w:numPr>
          <w:ilvl w:val="0"/>
          <w:numId w:val="23"/>
        </w:numPr>
        <w:spacing w:before="240" w:after="137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 drive contingency plan assessment</w:t>
      </w:r>
    </w:p>
    <w:p w:rsidR="00D47E6E" w:rsidRPr="00FB4300" w:rsidRDefault="004146FD" w:rsidP="00FB4300">
      <w:pPr>
        <w:ind w:left="720"/>
        <w:jc w:val="both"/>
        <w:rPr>
          <w:lang w:eastAsia="en-US"/>
        </w:rPr>
      </w:pPr>
      <w:r>
        <w:rPr>
          <w:lang w:eastAsia="en-US"/>
        </w:rPr>
        <w:t xml:space="preserve">The team will continue to evaluate </w:t>
      </w:r>
      <w:r w:rsidR="005E3F6B">
        <w:rPr>
          <w:lang w:eastAsia="en-US"/>
        </w:rPr>
        <w:t xml:space="preserve">if </w:t>
      </w:r>
      <w:r w:rsidR="00A12179">
        <w:rPr>
          <w:lang w:eastAsia="en-US"/>
        </w:rPr>
        <w:t xml:space="preserve">ATMS is configured to a </w:t>
      </w:r>
      <w:r w:rsidR="005E3F6B">
        <w:rPr>
          <w:lang w:eastAsia="en-US"/>
        </w:rPr>
        <w:t xml:space="preserve">new scan profile (96 </w:t>
      </w:r>
      <w:r w:rsidR="00FB44C9">
        <w:rPr>
          <w:lang w:eastAsia="en-US"/>
        </w:rPr>
        <w:t xml:space="preserve">FOV </w:t>
      </w:r>
      <w:r w:rsidR="005E3F6B">
        <w:rPr>
          <w:lang w:eastAsia="en-US"/>
        </w:rPr>
        <w:t>to 48</w:t>
      </w:r>
      <w:r w:rsidR="00FB44C9">
        <w:rPr>
          <w:lang w:eastAsia="en-US"/>
        </w:rPr>
        <w:t xml:space="preserve"> FOV</w:t>
      </w:r>
      <w:r w:rsidR="005E3F6B">
        <w:rPr>
          <w:lang w:eastAsia="en-US"/>
        </w:rPr>
        <w:t>)</w:t>
      </w:r>
      <w:r w:rsidR="00A12179">
        <w:rPr>
          <w:lang w:eastAsia="en-US"/>
        </w:rPr>
        <w:t xml:space="preserve"> </w:t>
      </w:r>
      <w:r w:rsidR="00931B7B">
        <w:rPr>
          <w:lang w:eastAsia="en-US"/>
        </w:rPr>
        <w:t>whether</w:t>
      </w:r>
      <w:r w:rsidR="00A12179">
        <w:rPr>
          <w:lang w:eastAsia="en-US"/>
        </w:rPr>
        <w:t xml:space="preserve"> RDR data </w:t>
      </w:r>
      <w:r w:rsidR="005E3F6B">
        <w:rPr>
          <w:lang w:eastAsia="en-US"/>
        </w:rPr>
        <w:t xml:space="preserve">can </w:t>
      </w:r>
      <w:r w:rsidR="00A12179">
        <w:rPr>
          <w:lang w:eastAsia="en-US"/>
        </w:rPr>
        <w:t xml:space="preserve">be processed at IDPS system </w:t>
      </w:r>
      <w:r w:rsidR="00931B7B">
        <w:rPr>
          <w:lang w:eastAsia="en-US"/>
        </w:rPr>
        <w:t>in</w:t>
      </w:r>
      <w:r w:rsidR="00A12179">
        <w:rPr>
          <w:lang w:eastAsia="en-US"/>
        </w:rPr>
        <w:t xml:space="preserve">to a normal data stream for NWP </w:t>
      </w:r>
      <w:r w:rsidR="005E3F6B">
        <w:rPr>
          <w:lang w:eastAsia="en-US"/>
        </w:rPr>
        <w:t xml:space="preserve"> users</w:t>
      </w:r>
      <w:r>
        <w:rPr>
          <w:lang w:eastAsia="en-US"/>
        </w:rPr>
        <w:t>.</w:t>
      </w:r>
    </w:p>
    <w:p w:rsidR="00FD3E93" w:rsidRPr="00570A7F" w:rsidRDefault="004376BD" w:rsidP="00FD3E93">
      <w:pPr>
        <w:pStyle w:val="CM5"/>
        <w:numPr>
          <w:ilvl w:val="0"/>
          <w:numId w:val="19"/>
        </w:numPr>
        <w:spacing w:before="240" w:after="1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ATMS</w:t>
      </w:r>
      <w:r w:rsidR="00FD3E93" w:rsidRPr="00570A7F">
        <w:rPr>
          <w:rFonts w:ascii="Times New Roman" w:hAnsi="Times New Roman" w:cs="Times New Roman"/>
          <w:b/>
        </w:rPr>
        <w:t xml:space="preserve"> </w:t>
      </w:r>
      <w:r w:rsidR="005334EA">
        <w:rPr>
          <w:rFonts w:ascii="Times New Roman" w:hAnsi="Times New Roman" w:cs="Times New Roman"/>
          <w:b/>
        </w:rPr>
        <w:t>Validated</w:t>
      </w:r>
      <w:r w:rsidR="00FD3E93" w:rsidRPr="00570A7F">
        <w:rPr>
          <w:rFonts w:ascii="Times New Roman" w:hAnsi="Times New Roman" w:cs="Times New Roman"/>
          <w:b/>
        </w:rPr>
        <w:t xml:space="preserve"> SDR </w:t>
      </w:r>
      <w:r w:rsidR="00337FDC">
        <w:rPr>
          <w:rFonts w:ascii="Times New Roman" w:hAnsi="Times New Roman" w:cs="Times New Roman"/>
          <w:b/>
        </w:rPr>
        <w:t>P</w:t>
      </w:r>
      <w:r w:rsidR="00FD3E93" w:rsidRPr="00570A7F">
        <w:rPr>
          <w:rFonts w:ascii="Times New Roman" w:hAnsi="Times New Roman" w:cs="Times New Roman"/>
          <w:b/>
        </w:rPr>
        <w:t xml:space="preserve">roduct </w:t>
      </w:r>
      <w:r w:rsidR="00337FDC">
        <w:rPr>
          <w:rFonts w:ascii="Times New Roman" w:hAnsi="Times New Roman" w:cs="Times New Roman"/>
          <w:b/>
        </w:rPr>
        <w:t>C</w:t>
      </w:r>
      <w:r w:rsidR="00FD3E93" w:rsidRPr="00570A7F">
        <w:rPr>
          <w:rFonts w:ascii="Times New Roman" w:hAnsi="Times New Roman" w:cs="Times New Roman"/>
          <w:b/>
        </w:rPr>
        <w:t>aveats</w:t>
      </w:r>
    </w:p>
    <w:p w:rsidR="00396DA2" w:rsidRDefault="005A2804" w:rsidP="008E766D">
      <w:pPr>
        <w:pStyle w:val="CM5"/>
        <w:spacing w:before="240" w:after="137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caveats are offered to the </w:t>
      </w:r>
      <w:r w:rsidR="001D6343">
        <w:rPr>
          <w:rFonts w:ascii="Times New Roman" w:hAnsi="Times New Roman" w:cs="Times New Roman"/>
        </w:rPr>
        <w:t>validated</w:t>
      </w:r>
      <w:r>
        <w:rPr>
          <w:rFonts w:ascii="Times New Roman" w:hAnsi="Times New Roman" w:cs="Times New Roman"/>
        </w:rPr>
        <w:t>-product</w:t>
      </w:r>
      <w:r w:rsidR="00396DA2">
        <w:rPr>
          <w:rFonts w:ascii="Times New Roman" w:hAnsi="Times New Roman" w:cs="Times New Roman"/>
        </w:rPr>
        <w:t xml:space="preserve"> users:</w:t>
      </w:r>
    </w:p>
    <w:p w:rsidR="00ED4EFF" w:rsidRPr="00570A7F" w:rsidRDefault="00820236" w:rsidP="008411B1">
      <w:pPr>
        <w:pStyle w:val="CM5"/>
        <w:numPr>
          <w:ilvl w:val="0"/>
          <w:numId w:val="33"/>
        </w:numPr>
        <w:spacing w:before="240" w:after="13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TDR data present noticeable striping </w:t>
      </w:r>
      <w:r w:rsidR="00964537">
        <w:rPr>
          <w:rFonts w:ascii="Times New Roman" w:hAnsi="Times New Roman" w:cs="Times New Roman"/>
        </w:rPr>
        <w:t>in terms of NWP O-B field</w:t>
      </w:r>
      <w:r w:rsidR="00705A48">
        <w:rPr>
          <w:rFonts w:ascii="Times New Roman" w:hAnsi="Times New Roman" w:cs="Times New Roman"/>
        </w:rPr>
        <w:t>, particularly in temperature sounding channels,</w:t>
      </w:r>
      <w:r w:rsidR="00E44171">
        <w:rPr>
          <w:rFonts w:ascii="Times New Roman" w:hAnsi="Times New Roman" w:cs="Times New Roman"/>
        </w:rPr>
        <w:t xml:space="preserve"> </w:t>
      </w:r>
      <w:r w:rsidR="00964537">
        <w:rPr>
          <w:rFonts w:ascii="Times New Roman" w:hAnsi="Times New Roman" w:cs="Times New Roman"/>
        </w:rPr>
        <w:t xml:space="preserve">but the striping magnitude is still within the requirement of ATMS </w:t>
      </w:r>
      <w:r w:rsidR="00873578">
        <w:rPr>
          <w:rFonts w:ascii="Times New Roman" w:hAnsi="Times New Roman" w:cs="Times New Roman"/>
        </w:rPr>
        <w:t>channel noise</w:t>
      </w:r>
      <w:r w:rsidR="00A75A9A">
        <w:rPr>
          <w:rFonts w:ascii="Times New Roman" w:hAnsi="Times New Roman" w:cs="Times New Roman"/>
        </w:rPr>
        <w:t xml:space="preserve"> (NE∆T)</w:t>
      </w:r>
      <w:r w:rsidR="00922717" w:rsidRPr="00570A7F">
        <w:rPr>
          <w:rFonts w:ascii="Times New Roman" w:hAnsi="Times New Roman" w:cs="Times New Roman"/>
        </w:rPr>
        <w:t>.</w:t>
      </w:r>
    </w:p>
    <w:p w:rsidR="00452816" w:rsidRDefault="00183884" w:rsidP="008411B1">
      <w:pPr>
        <w:pStyle w:val="CM5"/>
        <w:numPr>
          <w:ilvl w:val="0"/>
          <w:numId w:val="33"/>
        </w:numPr>
        <w:spacing w:before="240" w:after="137"/>
        <w:ind w:left="720"/>
        <w:rPr>
          <w:rFonts w:ascii="Times New Roman" w:hAnsi="Times New Roman" w:cs="Times New Roman"/>
        </w:rPr>
      </w:pPr>
      <w:r w:rsidRPr="00F014EF">
        <w:rPr>
          <w:rFonts w:ascii="Times New Roman" w:hAnsi="Times New Roman" w:cs="Times New Roman"/>
        </w:rPr>
        <w:t xml:space="preserve">SDR brightness temperature data </w:t>
      </w:r>
      <w:r w:rsidR="00D93CBE">
        <w:rPr>
          <w:rFonts w:ascii="Times New Roman" w:hAnsi="Times New Roman" w:cs="Times New Roman"/>
        </w:rPr>
        <w:t>for</w:t>
      </w:r>
      <w:r w:rsidR="00A12179">
        <w:rPr>
          <w:rFonts w:ascii="Times New Roman" w:hAnsi="Times New Roman" w:cs="Times New Roman"/>
        </w:rPr>
        <w:t xml:space="preserve"> W</w:t>
      </w:r>
      <w:r w:rsidR="00B00B49">
        <w:rPr>
          <w:rFonts w:ascii="Times New Roman" w:hAnsi="Times New Roman" w:cs="Times New Roman"/>
        </w:rPr>
        <w:t>/</w:t>
      </w:r>
      <w:r w:rsidR="00D93CBE">
        <w:rPr>
          <w:rFonts w:ascii="Times New Roman" w:hAnsi="Times New Roman" w:cs="Times New Roman"/>
        </w:rPr>
        <w:t>G-</w:t>
      </w:r>
      <w:r w:rsidR="0005203B">
        <w:rPr>
          <w:rFonts w:ascii="Times New Roman" w:hAnsi="Times New Roman" w:cs="Times New Roman"/>
        </w:rPr>
        <w:t>band channels does not contain beam efficiency correction</w:t>
      </w:r>
      <w:r w:rsidR="00931B7B">
        <w:rPr>
          <w:rFonts w:ascii="Times New Roman" w:hAnsi="Times New Roman" w:cs="Times New Roman"/>
        </w:rPr>
        <w:t>s</w:t>
      </w:r>
      <w:r w:rsidR="0005203B">
        <w:rPr>
          <w:rFonts w:ascii="Times New Roman" w:hAnsi="Times New Roman" w:cs="Times New Roman"/>
        </w:rPr>
        <w:t xml:space="preserve"> because of the uncertainty in </w:t>
      </w:r>
      <w:r w:rsidR="00A12179">
        <w:rPr>
          <w:rFonts w:ascii="Times New Roman" w:hAnsi="Times New Roman" w:cs="Times New Roman"/>
        </w:rPr>
        <w:t>W</w:t>
      </w:r>
      <w:r w:rsidR="00B00B49">
        <w:rPr>
          <w:rFonts w:ascii="Times New Roman" w:hAnsi="Times New Roman" w:cs="Times New Roman"/>
        </w:rPr>
        <w:t>/</w:t>
      </w:r>
      <w:r w:rsidR="0005203B">
        <w:rPr>
          <w:rFonts w:ascii="Times New Roman" w:hAnsi="Times New Roman" w:cs="Times New Roman"/>
        </w:rPr>
        <w:t xml:space="preserve">G-band beam efficiency </w:t>
      </w:r>
      <w:r w:rsidR="00D93CBE">
        <w:rPr>
          <w:rFonts w:ascii="Times New Roman" w:hAnsi="Times New Roman" w:cs="Times New Roman"/>
        </w:rPr>
        <w:t>coefficients</w:t>
      </w:r>
      <w:r w:rsidR="0005203B">
        <w:rPr>
          <w:rFonts w:ascii="Times New Roman" w:hAnsi="Times New Roman" w:cs="Times New Roman"/>
        </w:rPr>
        <w:t xml:space="preserve"> derived from antenna pattern measurements. Scan angle dependent bias has been corrected for all channels in the beta version correction coefficients.</w:t>
      </w:r>
      <w:r w:rsidR="00821934">
        <w:rPr>
          <w:rFonts w:ascii="Times New Roman" w:hAnsi="Times New Roman" w:cs="Times New Roman"/>
        </w:rPr>
        <w:t xml:space="preserve">   </w:t>
      </w:r>
    </w:p>
    <w:p w:rsidR="00452816" w:rsidRDefault="000159DF" w:rsidP="00BE797F">
      <w:pPr>
        <w:pStyle w:val="ListParagraph"/>
        <w:numPr>
          <w:ilvl w:val="0"/>
          <w:numId w:val="33"/>
        </w:numPr>
        <w:spacing w:after="120"/>
        <w:ind w:left="720"/>
        <w:contextualSpacing w:val="0"/>
        <w:rPr>
          <w:lang w:eastAsia="en-US"/>
        </w:rPr>
      </w:pPr>
      <w:r>
        <w:rPr>
          <w:lang w:eastAsia="en-US"/>
        </w:rPr>
        <w:t xml:space="preserve">Spacecraft maneuver </w:t>
      </w:r>
      <w:r w:rsidR="0021636D">
        <w:rPr>
          <w:lang w:eastAsia="en-US"/>
        </w:rPr>
        <w:t xml:space="preserve">quality </w:t>
      </w:r>
      <w:r>
        <w:rPr>
          <w:lang w:eastAsia="en-US"/>
        </w:rPr>
        <w:t>flag is not set correctly</w:t>
      </w:r>
      <w:r w:rsidR="00B46A49">
        <w:rPr>
          <w:lang w:eastAsia="en-US"/>
        </w:rPr>
        <w:t>.</w:t>
      </w:r>
    </w:p>
    <w:p w:rsidR="008411B1" w:rsidRDefault="008411B1" w:rsidP="00BE797F">
      <w:pPr>
        <w:pStyle w:val="ListParagraph"/>
        <w:numPr>
          <w:ilvl w:val="0"/>
          <w:numId w:val="33"/>
        </w:numPr>
        <w:spacing w:after="120"/>
        <w:ind w:left="720"/>
        <w:contextualSpacing w:val="0"/>
        <w:rPr>
          <w:lang w:eastAsia="en-US"/>
        </w:rPr>
      </w:pPr>
      <w:r>
        <w:rPr>
          <w:lang w:eastAsia="en-US"/>
        </w:rPr>
        <w:t xml:space="preserve">It is also proposed by NGES that the </w:t>
      </w:r>
      <w:r w:rsidR="00165BB8">
        <w:rPr>
          <w:lang w:eastAsia="en-US"/>
        </w:rPr>
        <w:t>ATMS reflector</w:t>
      </w:r>
      <w:r>
        <w:rPr>
          <w:lang w:eastAsia="en-US"/>
        </w:rPr>
        <w:t xml:space="preserve"> may have some </w:t>
      </w:r>
      <w:r w:rsidR="00A12179">
        <w:rPr>
          <w:lang w:eastAsia="en-US"/>
        </w:rPr>
        <w:t>self-</w:t>
      </w:r>
      <w:r>
        <w:rPr>
          <w:lang w:eastAsia="en-US"/>
        </w:rPr>
        <w:t>emission. The emissivity has scan-angle dependence and may also produce</w:t>
      </w:r>
      <w:r w:rsidR="00AD594D">
        <w:rPr>
          <w:lang w:eastAsia="en-US"/>
        </w:rPr>
        <w:t xml:space="preserve"> additional</w:t>
      </w:r>
      <w:r w:rsidR="00A47FA5">
        <w:rPr>
          <w:lang w:eastAsia="en-US"/>
        </w:rPr>
        <w:t xml:space="preserve"> scan-angle dependent bias. However, no pre-launch reflector emissivity data </w:t>
      </w:r>
      <w:r w:rsidR="00931B7B">
        <w:rPr>
          <w:lang w:eastAsia="en-US"/>
        </w:rPr>
        <w:t xml:space="preserve">is </w:t>
      </w:r>
      <w:r w:rsidR="00A47FA5">
        <w:rPr>
          <w:lang w:eastAsia="en-US"/>
        </w:rPr>
        <w:t>available for analysis. Best estimate</w:t>
      </w:r>
      <w:r w:rsidR="00931B7B">
        <w:rPr>
          <w:lang w:eastAsia="en-US"/>
        </w:rPr>
        <w:t>s</w:t>
      </w:r>
      <w:r w:rsidR="00A47FA5">
        <w:rPr>
          <w:lang w:eastAsia="en-US"/>
        </w:rPr>
        <w:t xml:space="preserve"> and proposed additional correction</w:t>
      </w:r>
      <w:r w:rsidR="00931B7B">
        <w:rPr>
          <w:lang w:eastAsia="en-US"/>
        </w:rPr>
        <w:t>s</w:t>
      </w:r>
      <w:r w:rsidR="00A47FA5">
        <w:rPr>
          <w:lang w:eastAsia="en-US"/>
        </w:rPr>
        <w:t xml:space="preserve"> will be added in the updated </w:t>
      </w:r>
      <w:r w:rsidR="00994B92">
        <w:rPr>
          <w:lang w:eastAsia="en-US"/>
        </w:rPr>
        <w:t>processing</w:t>
      </w:r>
      <w:r w:rsidR="00A47FA5">
        <w:rPr>
          <w:lang w:eastAsia="en-US"/>
        </w:rPr>
        <w:t xml:space="preserve"> coefficient table.</w:t>
      </w:r>
    </w:p>
    <w:p w:rsidR="00B46A49" w:rsidRPr="00B46A49" w:rsidRDefault="00B46A49" w:rsidP="00B46A49">
      <w:pPr>
        <w:rPr>
          <w:lang w:eastAsia="en-US"/>
        </w:rPr>
      </w:pPr>
    </w:p>
    <w:p w:rsidR="004E4B10" w:rsidRPr="00570A7F" w:rsidRDefault="00BE4172" w:rsidP="004E4B10">
      <w:pPr>
        <w:pStyle w:val="ListParagraph"/>
        <w:numPr>
          <w:ilvl w:val="0"/>
          <w:numId w:val="19"/>
        </w:numPr>
        <w:rPr>
          <w:b/>
          <w:lang w:eastAsia="en-US"/>
        </w:rPr>
      </w:pPr>
      <w:r w:rsidRPr="00570A7F">
        <w:rPr>
          <w:b/>
          <w:lang w:eastAsia="en-US"/>
        </w:rPr>
        <w:t>Path forward</w:t>
      </w:r>
      <w:r w:rsidR="005E4966">
        <w:rPr>
          <w:b/>
          <w:lang w:eastAsia="en-US"/>
        </w:rPr>
        <w:t xml:space="preserve"> </w:t>
      </w:r>
      <w:r w:rsidR="0042203E">
        <w:rPr>
          <w:b/>
          <w:lang w:eastAsia="en-US"/>
        </w:rPr>
        <w:t>after</w:t>
      </w:r>
      <w:r w:rsidR="005E4966">
        <w:rPr>
          <w:b/>
          <w:lang w:eastAsia="en-US"/>
        </w:rPr>
        <w:t xml:space="preserve"> Validated maturity level</w:t>
      </w:r>
    </w:p>
    <w:p w:rsidR="004E4B10" w:rsidRPr="00570A7F" w:rsidRDefault="004E4B10" w:rsidP="004E4B10">
      <w:pPr>
        <w:pStyle w:val="ListParagraph"/>
        <w:ind w:left="360"/>
        <w:rPr>
          <w:lang w:eastAsia="en-US"/>
        </w:rPr>
      </w:pPr>
    </w:p>
    <w:p w:rsidR="00333B1D" w:rsidRDefault="00333B1D" w:rsidP="00672303">
      <w:pPr>
        <w:pStyle w:val="ListParagraph"/>
        <w:ind w:left="360"/>
        <w:rPr>
          <w:lang w:eastAsia="en-US"/>
        </w:rPr>
      </w:pPr>
      <w:r>
        <w:rPr>
          <w:lang w:eastAsia="en-US"/>
        </w:rPr>
        <w:t xml:space="preserve">The team will move forward to perform the following work: </w:t>
      </w:r>
    </w:p>
    <w:p w:rsidR="00333B1D" w:rsidRDefault="00333B1D" w:rsidP="00333B1D">
      <w:pPr>
        <w:pStyle w:val="ListParagraph"/>
        <w:rPr>
          <w:lang w:eastAsia="en-US"/>
        </w:rPr>
      </w:pPr>
    </w:p>
    <w:p w:rsidR="004B7D05" w:rsidRDefault="00A67A44" w:rsidP="00BE6C31">
      <w:pPr>
        <w:pStyle w:val="ListParagraph"/>
        <w:numPr>
          <w:ilvl w:val="0"/>
          <w:numId w:val="29"/>
        </w:numPr>
        <w:spacing w:after="120"/>
        <w:contextualSpacing w:val="0"/>
        <w:rPr>
          <w:lang w:eastAsia="en-US"/>
        </w:rPr>
      </w:pPr>
      <w:r>
        <w:rPr>
          <w:lang w:eastAsia="en-US"/>
        </w:rPr>
        <w:t>Continue to monitor</w:t>
      </w:r>
      <w:r w:rsidR="004B7D05">
        <w:rPr>
          <w:lang w:eastAsia="en-US"/>
        </w:rPr>
        <w:t xml:space="preserve"> ATMS </w:t>
      </w:r>
      <w:r>
        <w:rPr>
          <w:lang w:eastAsia="en-US"/>
        </w:rPr>
        <w:t xml:space="preserve">instrument stability and performance, as well as </w:t>
      </w:r>
      <w:r w:rsidR="004B7D05">
        <w:rPr>
          <w:lang w:eastAsia="en-US"/>
        </w:rPr>
        <w:t>TDR/SDR data</w:t>
      </w:r>
      <w:r>
        <w:rPr>
          <w:lang w:eastAsia="en-US"/>
        </w:rPr>
        <w:t xml:space="preserve"> quality</w:t>
      </w:r>
    </w:p>
    <w:p w:rsidR="004E4B10" w:rsidRDefault="00431E42" w:rsidP="00BE6C31">
      <w:pPr>
        <w:pStyle w:val="ListParagraph"/>
        <w:numPr>
          <w:ilvl w:val="0"/>
          <w:numId w:val="29"/>
        </w:numPr>
        <w:spacing w:after="120"/>
        <w:contextualSpacing w:val="0"/>
        <w:rPr>
          <w:lang w:eastAsia="en-US"/>
        </w:rPr>
      </w:pPr>
      <w:r>
        <w:rPr>
          <w:lang w:eastAsia="en-US"/>
        </w:rPr>
        <w:t>Update ATMS beam efficiency correction coefficients for TDR</w:t>
      </w:r>
      <w:r w:rsidR="00931B7B">
        <w:rPr>
          <w:lang w:eastAsia="en-US"/>
        </w:rPr>
        <w:t>-</w:t>
      </w:r>
      <w:r>
        <w:rPr>
          <w:lang w:eastAsia="en-US"/>
        </w:rPr>
        <w:t>to</w:t>
      </w:r>
      <w:r w:rsidR="00931B7B">
        <w:rPr>
          <w:lang w:eastAsia="en-US"/>
        </w:rPr>
        <w:t>-</w:t>
      </w:r>
      <w:r>
        <w:rPr>
          <w:lang w:eastAsia="en-US"/>
        </w:rPr>
        <w:t xml:space="preserve">SDR conversion </w:t>
      </w:r>
      <w:r w:rsidR="005B6162">
        <w:rPr>
          <w:lang w:eastAsia="en-US"/>
        </w:rPr>
        <w:t>in G-band channels</w:t>
      </w:r>
    </w:p>
    <w:p w:rsidR="00FD0947" w:rsidRPr="00570A7F" w:rsidRDefault="005B6162" w:rsidP="00FD0947">
      <w:pPr>
        <w:pStyle w:val="ListParagraph"/>
        <w:numPr>
          <w:ilvl w:val="0"/>
          <w:numId w:val="29"/>
        </w:numPr>
        <w:spacing w:after="120"/>
        <w:contextualSpacing w:val="0"/>
        <w:rPr>
          <w:lang w:eastAsia="en-US"/>
        </w:rPr>
      </w:pPr>
      <w:r>
        <w:rPr>
          <w:lang w:eastAsia="en-US"/>
        </w:rPr>
        <w:t>Update ATMS scan</w:t>
      </w:r>
      <w:r w:rsidR="00931B7B">
        <w:rPr>
          <w:lang w:eastAsia="en-US"/>
        </w:rPr>
        <w:t>-</w:t>
      </w:r>
      <w:r>
        <w:rPr>
          <w:lang w:eastAsia="en-US"/>
        </w:rPr>
        <w:t>angle</w:t>
      </w:r>
      <w:r w:rsidR="00931B7B">
        <w:rPr>
          <w:lang w:eastAsia="en-US"/>
        </w:rPr>
        <w:t>-</w:t>
      </w:r>
      <w:r>
        <w:rPr>
          <w:lang w:eastAsia="en-US"/>
        </w:rPr>
        <w:t xml:space="preserve">dependent bias coefficients </w:t>
      </w:r>
      <w:r w:rsidR="00AF2F48">
        <w:rPr>
          <w:lang w:eastAsia="en-US"/>
        </w:rPr>
        <w:t>for TDR</w:t>
      </w:r>
      <w:r w:rsidR="00931B7B">
        <w:rPr>
          <w:lang w:eastAsia="en-US"/>
        </w:rPr>
        <w:t>-</w:t>
      </w:r>
      <w:r w:rsidR="00AF2F48">
        <w:rPr>
          <w:lang w:eastAsia="en-US"/>
        </w:rPr>
        <w:t>to</w:t>
      </w:r>
      <w:r w:rsidR="00931B7B">
        <w:rPr>
          <w:lang w:eastAsia="en-US"/>
        </w:rPr>
        <w:t>-</w:t>
      </w:r>
      <w:r w:rsidR="00AF2F48">
        <w:rPr>
          <w:lang w:eastAsia="en-US"/>
        </w:rPr>
        <w:t xml:space="preserve">SDR conversion </w:t>
      </w:r>
      <w:r w:rsidR="00931B7B">
        <w:rPr>
          <w:lang w:eastAsia="en-US"/>
        </w:rPr>
        <w:t>accounting for</w:t>
      </w:r>
      <w:r>
        <w:rPr>
          <w:lang w:eastAsia="en-US"/>
        </w:rPr>
        <w:t xml:space="preserve"> reflector emissivity</w:t>
      </w:r>
    </w:p>
    <w:p w:rsidR="004E4B10" w:rsidRPr="00570A7F" w:rsidRDefault="00431E42" w:rsidP="00BE6C31">
      <w:pPr>
        <w:pStyle w:val="ListParagraph"/>
        <w:numPr>
          <w:ilvl w:val="0"/>
          <w:numId w:val="29"/>
        </w:numPr>
        <w:spacing w:after="120"/>
        <w:contextualSpacing w:val="0"/>
        <w:rPr>
          <w:lang w:eastAsia="en-US"/>
        </w:rPr>
      </w:pPr>
      <w:r>
        <w:rPr>
          <w:lang w:eastAsia="en-US"/>
        </w:rPr>
        <w:t xml:space="preserve">Work with NGES to better characterize </w:t>
      </w:r>
      <w:r w:rsidR="00205CBB">
        <w:rPr>
          <w:lang w:eastAsia="en-US"/>
        </w:rPr>
        <w:t xml:space="preserve">JPSS-1 </w:t>
      </w:r>
      <w:r>
        <w:rPr>
          <w:lang w:eastAsia="en-US"/>
        </w:rPr>
        <w:t>ATMS antenna patterns, including side-lobe, cross-polarization spill-</w:t>
      </w:r>
      <w:r w:rsidR="00205CBB">
        <w:rPr>
          <w:lang w:eastAsia="en-US"/>
        </w:rPr>
        <w:t xml:space="preserve">over, </w:t>
      </w:r>
      <w:r w:rsidR="00931B7B">
        <w:rPr>
          <w:lang w:eastAsia="en-US"/>
        </w:rPr>
        <w:t xml:space="preserve">and </w:t>
      </w:r>
      <w:r w:rsidR="00205CBB">
        <w:rPr>
          <w:lang w:eastAsia="en-US"/>
        </w:rPr>
        <w:t>polarization twist angle</w:t>
      </w:r>
    </w:p>
    <w:p w:rsidR="00C100CD" w:rsidRDefault="00C100CD" w:rsidP="00BE6C31">
      <w:pPr>
        <w:pStyle w:val="ListParagraph"/>
        <w:numPr>
          <w:ilvl w:val="0"/>
          <w:numId w:val="29"/>
        </w:numPr>
        <w:spacing w:after="120"/>
        <w:contextualSpacing w:val="0"/>
        <w:rPr>
          <w:lang w:eastAsia="en-US"/>
        </w:rPr>
      </w:pPr>
      <w:r>
        <w:rPr>
          <w:lang w:eastAsia="en-US"/>
        </w:rPr>
        <w:t xml:space="preserve">Implement </w:t>
      </w:r>
      <w:r w:rsidR="00931B7B">
        <w:rPr>
          <w:lang w:eastAsia="en-US"/>
        </w:rPr>
        <w:t xml:space="preserve">the </w:t>
      </w:r>
      <w:r>
        <w:rPr>
          <w:lang w:eastAsia="en-US"/>
        </w:rPr>
        <w:t>lunar intrusion correction algorithm in IDPS</w:t>
      </w:r>
    </w:p>
    <w:p w:rsidR="00C100CD" w:rsidRDefault="00C100CD" w:rsidP="00BE6C31">
      <w:pPr>
        <w:pStyle w:val="ListParagraph"/>
        <w:numPr>
          <w:ilvl w:val="0"/>
          <w:numId w:val="29"/>
        </w:numPr>
        <w:spacing w:after="120"/>
        <w:contextualSpacing w:val="0"/>
        <w:rPr>
          <w:lang w:eastAsia="en-US"/>
        </w:rPr>
      </w:pPr>
      <w:r>
        <w:rPr>
          <w:lang w:eastAsia="en-US"/>
        </w:rPr>
        <w:t>Update spacecraft maneuver flag handling in TDR/SDR data</w:t>
      </w:r>
    </w:p>
    <w:p w:rsidR="00A25883" w:rsidRPr="00570A7F" w:rsidRDefault="00A25883" w:rsidP="00BE6C31">
      <w:pPr>
        <w:pStyle w:val="ListParagraph"/>
        <w:numPr>
          <w:ilvl w:val="0"/>
          <w:numId w:val="29"/>
        </w:numPr>
        <w:spacing w:after="120"/>
        <w:contextualSpacing w:val="0"/>
        <w:rPr>
          <w:lang w:eastAsia="en-US"/>
        </w:rPr>
      </w:pPr>
      <w:r>
        <w:rPr>
          <w:lang w:eastAsia="en-US"/>
        </w:rPr>
        <w:t>Develop channel</w:t>
      </w:r>
      <w:r w:rsidR="00931B7B">
        <w:rPr>
          <w:lang w:eastAsia="en-US"/>
        </w:rPr>
        <w:t>-</w:t>
      </w:r>
      <w:r>
        <w:rPr>
          <w:lang w:eastAsia="en-US"/>
        </w:rPr>
        <w:t xml:space="preserve">dependent striping </w:t>
      </w:r>
      <w:r w:rsidR="00C100CD">
        <w:rPr>
          <w:lang w:eastAsia="en-US"/>
        </w:rPr>
        <w:t>mitigation</w:t>
      </w:r>
      <w:r>
        <w:rPr>
          <w:lang w:eastAsia="en-US"/>
        </w:rPr>
        <w:t xml:space="preserve"> algorithm</w:t>
      </w:r>
    </w:p>
    <w:p w:rsidR="00DE4585" w:rsidRPr="00570A7F" w:rsidRDefault="001E7B8A" w:rsidP="00BE6C31">
      <w:pPr>
        <w:pStyle w:val="ListParagraph"/>
        <w:numPr>
          <w:ilvl w:val="0"/>
          <w:numId w:val="29"/>
        </w:numPr>
        <w:spacing w:after="120"/>
        <w:contextualSpacing w:val="0"/>
        <w:rPr>
          <w:lang w:eastAsia="en-US"/>
        </w:rPr>
      </w:pPr>
      <w:r>
        <w:rPr>
          <w:lang w:eastAsia="en-US"/>
        </w:rPr>
        <w:t xml:space="preserve"> </w:t>
      </w:r>
      <w:r w:rsidR="00931B7B">
        <w:rPr>
          <w:lang w:eastAsia="en-US"/>
        </w:rPr>
        <w:t>S</w:t>
      </w:r>
      <w:r>
        <w:rPr>
          <w:lang w:eastAsia="en-US"/>
        </w:rPr>
        <w:t xml:space="preserve">tudy </w:t>
      </w:r>
      <w:r w:rsidR="00931B7B">
        <w:rPr>
          <w:lang w:eastAsia="en-US"/>
        </w:rPr>
        <w:t xml:space="preserve">impact </w:t>
      </w:r>
      <w:r>
        <w:rPr>
          <w:lang w:eastAsia="en-US"/>
        </w:rPr>
        <w:t>on ATMS</w:t>
      </w:r>
      <w:r w:rsidR="00931B7B">
        <w:rPr>
          <w:lang w:eastAsia="en-US"/>
        </w:rPr>
        <w:t xml:space="preserve"> products</w:t>
      </w:r>
      <w:r>
        <w:rPr>
          <w:lang w:eastAsia="en-US"/>
        </w:rPr>
        <w:t xml:space="preserve"> </w:t>
      </w:r>
      <w:r w:rsidR="00931B7B">
        <w:rPr>
          <w:lang w:eastAsia="en-US"/>
        </w:rPr>
        <w:t xml:space="preserve">of </w:t>
      </w:r>
      <w:r>
        <w:rPr>
          <w:lang w:eastAsia="en-US"/>
        </w:rPr>
        <w:t>scan drive contingency plan</w:t>
      </w:r>
    </w:p>
    <w:p w:rsidR="00321313" w:rsidRPr="00570A7F" w:rsidRDefault="00321313" w:rsidP="00321313">
      <w:pPr>
        <w:spacing w:after="120"/>
        <w:rPr>
          <w:lang w:eastAsia="en-US"/>
        </w:rPr>
      </w:pPr>
    </w:p>
    <w:p w:rsidR="00A11D5F" w:rsidRPr="00570A7F" w:rsidRDefault="00A11D5F" w:rsidP="00A11D5F">
      <w:pPr>
        <w:pStyle w:val="CM5"/>
        <w:numPr>
          <w:ilvl w:val="0"/>
          <w:numId w:val="19"/>
        </w:numPr>
        <w:spacing w:before="240" w:after="137"/>
        <w:rPr>
          <w:rFonts w:ascii="Times New Roman" w:hAnsi="Times New Roman" w:cs="Times New Roman"/>
          <w:b/>
        </w:rPr>
      </w:pPr>
      <w:r w:rsidRPr="00570A7F">
        <w:rPr>
          <w:rFonts w:ascii="Times New Roman" w:hAnsi="Times New Roman" w:cs="Times New Roman"/>
          <w:b/>
        </w:rPr>
        <w:t>Reference</w:t>
      </w:r>
      <w:r w:rsidR="00931B7B">
        <w:rPr>
          <w:rFonts w:ascii="Times New Roman" w:hAnsi="Times New Roman" w:cs="Times New Roman"/>
          <w:b/>
        </w:rPr>
        <w:t>s</w:t>
      </w:r>
    </w:p>
    <w:p w:rsidR="00BD1326" w:rsidRPr="00570A7F" w:rsidRDefault="008B48D5" w:rsidP="00B407C3">
      <w:pPr>
        <w:spacing w:before="100" w:beforeAutospacing="1"/>
        <w:ind w:left="360"/>
        <w:rPr>
          <w:lang w:eastAsia="ko-KR"/>
        </w:rPr>
      </w:pPr>
      <w:r w:rsidRPr="00570A7F">
        <w:rPr>
          <w:lang w:eastAsia="ko-KR"/>
        </w:rPr>
        <w:t xml:space="preserve">[1] </w:t>
      </w:r>
      <w:r w:rsidR="003C64E3">
        <w:rPr>
          <w:lang w:eastAsia="ko-KR"/>
        </w:rPr>
        <w:t>F</w:t>
      </w:r>
      <w:r w:rsidR="00875E1B" w:rsidRPr="00570A7F">
        <w:rPr>
          <w:lang w:eastAsia="ko-KR"/>
        </w:rPr>
        <w:t xml:space="preserve">. </w:t>
      </w:r>
      <w:r w:rsidR="003C64E3">
        <w:rPr>
          <w:lang w:eastAsia="ko-KR"/>
        </w:rPr>
        <w:t>Weng</w:t>
      </w:r>
      <w:r w:rsidR="00875E1B" w:rsidRPr="00570A7F">
        <w:rPr>
          <w:lang w:eastAsia="ko-KR"/>
        </w:rPr>
        <w:t xml:space="preserve"> (NOAA/STAR), “</w:t>
      </w:r>
      <w:r w:rsidR="00922717" w:rsidRPr="00570A7F">
        <w:rPr>
          <w:lang w:eastAsia="ko-KR"/>
        </w:rPr>
        <w:t xml:space="preserve">Suomi NPP </w:t>
      </w:r>
      <w:r w:rsidR="00B225BE">
        <w:rPr>
          <w:lang w:eastAsia="ko-KR"/>
        </w:rPr>
        <w:t>ATMS</w:t>
      </w:r>
      <w:r w:rsidR="00922717" w:rsidRPr="00570A7F">
        <w:rPr>
          <w:lang w:eastAsia="ko-KR"/>
        </w:rPr>
        <w:t xml:space="preserve"> </w:t>
      </w:r>
      <w:r w:rsidR="00C26C0A">
        <w:rPr>
          <w:lang w:eastAsia="ko-KR"/>
        </w:rPr>
        <w:t>CalVal Overview</w:t>
      </w:r>
      <w:r w:rsidR="00875E1B" w:rsidRPr="00570A7F">
        <w:rPr>
          <w:lang w:eastAsia="ko-KR"/>
        </w:rPr>
        <w:t xml:space="preserve">”, Suomi NPP SDR </w:t>
      </w:r>
      <w:r w:rsidR="00C26C0A">
        <w:rPr>
          <w:lang w:eastAsia="ko-KR"/>
        </w:rPr>
        <w:t xml:space="preserve">Science and </w:t>
      </w:r>
      <w:r w:rsidR="00875E1B" w:rsidRPr="00570A7F">
        <w:rPr>
          <w:lang w:eastAsia="ko-KR"/>
        </w:rPr>
        <w:t xml:space="preserve">Product Review Meeting, </w:t>
      </w:r>
      <w:r w:rsidR="00C26C0A">
        <w:rPr>
          <w:lang w:eastAsia="ko-KR"/>
        </w:rPr>
        <w:t>December 18-20, 2013</w:t>
      </w:r>
      <w:r w:rsidR="00875E1B" w:rsidRPr="00570A7F">
        <w:rPr>
          <w:lang w:eastAsia="ko-KR"/>
        </w:rPr>
        <w:t>.</w:t>
      </w:r>
    </w:p>
    <w:p w:rsidR="00875E1B" w:rsidRPr="00570A7F" w:rsidRDefault="000725F9" w:rsidP="00B407C3">
      <w:pPr>
        <w:spacing w:before="100" w:beforeAutospacing="1"/>
        <w:ind w:left="360"/>
        <w:rPr>
          <w:lang w:eastAsia="ko-KR"/>
        </w:rPr>
      </w:pPr>
      <w:r w:rsidRPr="00570A7F">
        <w:rPr>
          <w:lang w:eastAsia="ko-KR"/>
        </w:rPr>
        <w:t>[2</w:t>
      </w:r>
      <w:r w:rsidR="008B48D5" w:rsidRPr="00570A7F">
        <w:rPr>
          <w:lang w:eastAsia="ko-KR"/>
        </w:rPr>
        <w:t xml:space="preserve">] </w:t>
      </w:r>
      <w:r w:rsidR="00B225BE">
        <w:rPr>
          <w:lang w:eastAsia="ko-KR"/>
        </w:rPr>
        <w:t>V</w:t>
      </w:r>
      <w:r w:rsidR="00875E1B" w:rsidRPr="00570A7F">
        <w:rPr>
          <w:lang w:eastAsia="ko-KR"/>
        </w:rPr>
        <w:t xml:space="preserve">. </w:t>
      </w:r>
      <w:r w:rsidR="00B225BE">
        <w:rPr>
          <w:lang w:eastAsia="ko-KR"/>
        </w:rPr>
        <w:t>Leslie</w:t>
      </w:r>
      <w:r w:rsidR="00986783">
        <w:rPr>
          <w:lang w:eastAsia="ko-KR"/>
        </w:rPr>
        <w:t xml:space="preserve"> </w:t>
      </w:r>
      <w:r w:rsidR="00B46A49">
        <w:rPr>
          <w:lang w:eastAsia="ko-KR"/>
        </w:rPr>
        <w:t xml:space="preserve">(MIT </w:t>
      </w:r>
      <w:r w:rsidR="00B225BE">
        <w:rPr>
          <w:lang w:eastAsia="ko-KR"/>
        </w:rPr>
        <w:t>LL)</w:t>
      </w:r>
      <w:r w:rsidR="00875E1B" w:rsidRPr="00570A7F">
        <w:rPr>
          <w:lang w:eastAsia="ko-KR"/>
        </w:rPr>
        <w:t>, “</w:t>
      </w:r>
      <w:r w:rsidR="00986783">
        <w:rPr>
          <w:lang w:eastAsia="ko-KR"/>
        </w:rPr>
        <w:t>S-NPP ATMS: Antenna Temperature (TDR) Conversion to Brightness Temperature (SDR)</w:t>
      </w:r>
      <w:r w:rsidR="00875E1B" w:rsidRPr="00570A7F">
        <w:rPr>
          <w:lang w:eastAsia="ko-KR"/>
        </w:rPr>
        <w:t xml:space="preserve">”, </w:t>
      </w:r>
      <w:r w:rsidR="00986783" w:rsidRPr="00570A7F">
        <w:rPr>
          <w:lang w:eastAsia="ko-KR"/>
        </w:rPr>
        <w:t xml:space="preserve">Suomi NPP SDR </w:t>
      </w:r>
      <w:r w:rsidR="00986783">
        <w:rPr>
          <w:lang w:eastAsia="ko-KR"/>
        </w:rPr>
        <w:t xml:space="preserve">Science and </w:t>
      </w:r>
      <w:r w:rsidR="00986783" w:rsidRPr="00570A7F">
        <w:rPr>
          <w:lang w:eastAsia="ko-KR"/>
        </w:rPr>
        <w:t xml:space="preserve">Product Review Meeting, </w:t>
      </w:r>
      <w:r w:rsidR="00986783">
        <w:rPr>
          <w:lang w:eastAsia="ko-KR"/>
        </w:rPr>
        <w:t>December 18-20, 2013</w:t>
      </w:r>
      <w:r w:rsidR="00986783" w:rsidRPr="00570A7F">
        <w:rPr>
          <w:lang w:eastAsia="ko-KR"/>
        </w:rPr>
        <w:t>.</w:t>
      </w:r>
    </w:p>
    <w:p w:rsidR="00875E1B" w:rsidRPr="00570A7F" w:rsidRDefault="000725F9" w:rsidP="00B407C3">
      <w:pPr>
        <w:spacing w:before="100" w:beforeAutospacing="1"/>
        <w:ind w:left="360"/>
        <w:rPr>
          <w:lang w:eastAsia="ko-KR"/>
        </w:rPr>
      </w:pPr>
      <w:r w:rsidRPr="00570A7F">
        <w:rPr>
          <w:lang w:eastAsia="ko-KR"/>
        </w:rPr>
        <w:t>[3</w:t>
      </w:r>
      <w:r w:rsidR="008B48D5" w:rsidRPr="00570A7F">
        <w:rPr>
          <w:lang w:eastAsia="ko-KR"/>
        </w:rPr>
        <w:t xml:space="preserve">] </w:t>
      </w:r>
      <w:r w:rsidR="000F4D00">
        <w:rPr>
          <w:lang w:eastAsia="ko-KR"/>
        </w:rPr>
        <w:t>X. Zou</w:t>
      </w:r>
      <w:r w:rsidR="00B2725F">
        <w:rPr>
          <w:lang w:eastAsia="ko-KR"/>
        </w:rPr>
        <w:t xml:space="preserve"> </w:t>
      </w:r>
      <w:r w:rsidR="00C03722">
        <w:rPr>
          <w:lang w:eastAsia="ko-KR"/>
        </w:rPr>
        <w:t>(</w:t>
      </w:r>
      <w:r w:rsidR="000F4D00">
        <w:rPr>
          <w:lang w:eastAsia="ko-KR"/>
        </w:rPr>
        <w:t>FSU</w:t>
      </w:r>
      <w:r w:rsidR="00875E1B" w:rsidRPr="00570A7F">
        <w:rPr>
          <w:lang w:eastAsia="ko-KR"/>
        </w:rPr>
        <w:t>), “</w:t>
      </w:r>
      <w:r w:rsidR="000F4D00">
        <w:rPr>
          <w:lang w:eastAsia="ko-KR"/>
        </w:rPr>
        <w:t>Connecting ATMS to AMSU Time Series for Long-Term Monitoring of Climate Change</w:t>
      </w:r>
      <w:r w:rsidR="00875E1B" w:rsidRPr="00570A7F">
        <w:rPr>
          <w:lang w:eastAsia="ko-KR"/>
        </w:rPr>
        <w:t xml:space="preserve">”, </w:t>
      </w:r>
      <w:r w:rsidR="000F4D00" w:rsidRPr="00570A7F">
        <w:rPr>
          <w:lang w:eastAsia="ko-KR"/>
        </w:rPr>
        <w:t xml:space="preserve">Suomi NPP SDR </w:t>
      </w:r>
      <w:r w:rsidR="000F4D00">
        <w:rPr>
          <w:lang w:eastAsia="ko-KR"/>
        </w:rPr>
        <w:t xml:space="preserve">Science and </w:t>
      </w:r>
      <w:r w:rsidR="000F4D00" w:rsidRPr="00570A7F">
        <w:rPr>
          <w:lang w:eastAsia="ko-KR"/>
        </w:rPr>
        <w:t xml:space="preserve">Product Review Meeting, </w:t>
      </w:r>
      <w:r w:rsidR="000F4D00">
        <w:rPr>
          <w:lang w:eastAsia="ko-KR"/>
        </w:rPr>
        <w:t>December 18-20, 2013</w:t>
      </w:r>
      <w:r w:rsidR="00875E1B" w:rsidRPr="00570A7F">
        <w:rPr>
          <w:lang w:eastAsia="ko-KR"/>
        </w:rPr>
        <w:t>.</w:t>
      </w:r>
    </w:p>
    <w:p w:rsidR="00875E1B" w:rsidRPr="00570A7F" w:rsidRDefault="000725F9" w:rsidP="00B407C3">
      <w:pPr>
        <w:spacing w:before="100" w:beforeAutospacing="1"/>
        <w:ind w:left="360"/>
        <w:rPr>
          <w:lang w:eastAsia="ko-KR"/>
        </w:rPr>
      </w:pPr>
      <w:r w:rsidRPr="00570A7F">
        <w:rPr>
          <w:lang w:eastAsia="ko-KR"/>
        </w:rPr>
        <w:t>[4</w:t>
      </w:r>
      <w:r w:rsidR="008B48D5" w:rsidRPr="00570A7F">
        <w:rPr>
          <w:lang w:eastAsia="ko-KR"/>
        </w:rPr>
        <w:t xml:space="preserve">] </w:t>
      </w:r>
      <w:r w:rsidR="00A120E0">
        <w:rPr>
          <w:lang w:eastAsia="ko-KR"/>
        </w:rPr>
        <w:t>D. Gu</w:t>
      </w:r>
      <w:r w:rsidR="008F5AE8">
        <w:rPr>
          <w:lang w:eastAsia="ko-KR"/>
        </w:rPr>
        <w:t xml:space="preserve"> </w:t>
      </w:r>
      <w:r w:rsidR="00875E1B" w:rsidRPr="00570A7F">
        <w:rPr>
          <w:lang w:eastAsia="ko-KR"/>
        </w:rPr>
        <w:t>(</w:t>
      </w:r>
      <w:r w:rsidR="00A120E0">
        <w:rPr>
          <w:lang w:eastAsia="ko-KR"/>
        </w:rPr>
        <w:t>NGAS</w:t>
      </w:r>
      <w:r w:rsidR="008F5AE8">
        <w:rPr>
          <w:lang w:eastAsia="ko-KR"/>
        </w:rPr>
        <w:t>)</w:t>
      </w:r>
      <w:r w:rsidR="00875E1B" w:rsidRPr="00570A7F">
        <w:rPr>
          <w:lang w:eastAsia="ko-KR"/>
        </w:rPr>
        <w:t>, “</w:t>
      </w:r>
      <w:r w:rsidR="00A120E0">
        <w:rPr>
          <w:lang w:eastAsia="ko-KR"/>
        </w:rPr>
        <w:t>ATMS Striping Assessment and Mitigation</w:t>
      </w:r>
      <w:r w:rsidR="00875E1B" w:rsidRPr="00570A7F">
        <w:rPr>
          <w:lang w:eastAsia="ko-KR"/>
        </w:rPr>
        <w:t xml:space="preserve">”, </w:t>
      </w:r>
      <w:r w:rsidR="00A120E0" w:rsidRPr="00570A7F">
        <w:rPr>
          <w:lang w:eastAsia="ko-KR"/>
        </w:rPr>
        <w:t xml:space="preserve">Suomi NPP SDR </w:t>
      </w:r>
      <w:r w:rsidR="00A120E0">
        <w:rPr>
          <w:lang w:eastAsia="ko-KR"/>
        </w:rPr>
        <w:t xml:space="preserve">Science and </w:t>
      </w:r>
      <w:r w:rsidR="00A120E0" w:rsidRPr="00570A7F">
        <w:rPr>
          <w:lang w:eastAsia="ko-KR"/>
        </w:rPr>
        <w:t xml:space="preserve">Product Review Meeting, </w:t>
      </w:r>
      <w:r w:rsidR="00A120E0">
        <w:rPr>
          <w:lang w:eastAsia="ko-KR"/>
        </w:rPr>
        <w:t>December 18-20, 2013</w:t>
      </w:r>
      <w:r w:rsidR="00A120E0" w:rsidRPr="00570A7F">
        <w:rPr>
          <w:lang w:eastAsia="ko-KR"/>
        </w:rPr>
        <w:t>.</w:t>
      </w:r>
    </w:p>
    <w:p w:rsidR="001C543A" w:rsidRPr="00570A7F" w:rsidRDefault="000725F9" w:rsidP="00B407C3">
      <w:pPr>
        <w:spacing w:before="100" w:beforeAutospacing="1"/>
        <w:ind w:left="360"/>
        <w:rPr>
          <w:lang w:eastAsia="ko-KR"/>
        </w:rPr>
      </w:pPr>
      <w:r w:rsidRPr="00570A7F">
        <w:rPr>
          <w:lang w:eastAsia="ko-KR"/>
        </w:rPr>
        <w:t>[5</w:t>
      </w:r>
      <w:r w:rsidR="008B48D5" w:rsidRPr="00570A7F">
        <w:rPr>
          <w:lang w:eastAsia="ko-KR"/>
        </w:rPr>
        <w:t xml:space="preserve">] </w:t>
      </w:r>
      <w:r w:rsidR="00CD446C">
        <w:rPr>
          <w:lang w:eastAsia="ko-KR"/>
        </w:rPr>
        <w:t>H. Yang</w:t>
      </w:r>
      <w:r w:rsidR="001C543A" w:rsidRPr="00570A7F">
        <w:rPr>
          <w:lang w:eastAsia="ko-KR"/>
        </w:rPr>
        <w:t xml:space="preserve"> (</w:t>
      </w:r>
      <w:r w:rsidR="00CD446C">
        <w:rPr>
          <w:lang w:eastAsia="ko-KR"/>
        </w:rPr>
        <w:t>STAR</w:t>
      </w:r>
      <w:r w:rsidR="001C543A" w:rsidRPr="00570A7F">
        <w:rPr>
          <w:lang w:eastAsia="ko-KR"/>
        </w:rPr>
        <w:t>), “</w:t>
      </w:r>
      <w:r w:rsidR="00CD446C">
        <w:rPr>
          <w:lang w:eastAsia="ko-KR"/>
        </w:rPr>
        <w:t>ATMS SDR Lunar Intrusion Assessment and Mitigation Activi</w:t>
      </w:r>
      <w:r w:rsidR="00F00251">
        <w:rPr>
          <w:lang w:eastAsia="ko-KR"/>
        </w:rPr>
        <w:t>ties and Results</w:t>
      </w:r>
      <w:r w:rsidR="004C4928">
        <w:rPr>
          <w:lang w:eastAsia="ko-KR"/>
        </w:rPr>
        <w:t>”,</w:t>
      </w:r>
      <w:r w:rsidR="001C543A" w:rsidRPr="00570A7F">
        <w:rPr>
          <w:lang w:eastAsia="ko-KR"/>
        </w:rPr>
        <w:t xml:space="preserve"> </w:t>
      </w:r>
      <w:r w:rsidR="003A37A1" w:rsidRPr="00570A7F">
        <w:rPr>
          <w:lang w:eastAsia="ko-KR"/>
        </w:rPr>
        <w:t xml:space="preserve">Suomi NPP SDR </w:t>
      </w:r>
      <w:r w:rsidR="003A37A1">
        <w:rPr>
          <w:lang w:eastAsia="ko-KR"/>
        </w:rPr>
        <w:t xml:space="preserve">Science and </w:t>
      </w:r>
      <w:r w:rsidR="003A37A1" w:rsidRPr="00570A7F">
        <w:rPr>
          <w:lang w:eastAsia="ko-KR"/>
        </w:rPr>
        <w:t xml:space="preserve">Product Review Meeting, </w:t>
      </w:r>
      <w:r w:rsidR="003A37A1">
        <w:rPr>
          <w:lang w:eastAsia="ko-KR"/>
        </w:rPr>
        <w:t>December 18-20, 2013</w:t>
      </w:r>
      <w:r w:rsidR="003A37A1" w:rsidRPr="00570A7F">
        <w:rPr>
          <w:lang w:eastAsia="ko-KR"/>
        </w:rPr>
        <w:t>.</w:t>
      </w:r>
    </w:p>
    <w:p w:rsidR="001C543A" w:rsidRPr="00570A7F" w:rsidRDefault="000725F9" w:rsidP="00B407C3">
      <w:pPr>
        <w:spacing w:before="100" w:beforeAutospacing="1"/>
        <w:ind w:left="360"/>
        <w:rPr>
          <w:lang w:eastAsia="ko-KR"/>
        </w:rPr>
      </w:pPr>
      <w:r w:rsidRPr="00570A7F">
        <w:rPr>
          <w:lang w:eastAsia="ko-KR"/>
        </w:rPr>
        <w:t>[6</w:t>
      </w:r>
      <w:r w:rsidR="008B48D5" w:rsidRPr="00570A7F">
        <w:rPr>
          <w:lang w:eastAsia="ko-KR"/>
        </w:rPr>
        <w:t xml:space="preserve">] </w:t>
      </w:r>
      <w:r w:rsidR="00D53823">
        <w:rPr>
          <w:lang w:eastAsia="ko-KR"/>
        </w:rPr>
        <w:t>N. Sun</w:t>
      </w:r>
      <w:r w:rsidR="001C543A" w:rsidRPr="00570A7F">
        <w:rPr>
          <w:lang w:eastAsia="ko-KR"/>
        </w:rPr>
        <w:t xml:space="preserve"> (</w:t>
      </w:r>
      <w:r w:rsidR="00D53823">
        <w:rPr>
          <w:lang w:eastAsia="ko-KR"/>
        </w:rPr>
        <w:t>STAR</w:t>
      </w:r>
      <w:r w:rsidR="001C543A" w:rsidRPr="00570A7F">
        <w:rPr>
          <w:lang w:eastAsia="ko-KR"/>
        </w:rPr>
        <w:t>), “</w:t>
      </w:r>
      <w:r w:rsidR="00D53823">
        <w:rPr>
          <w:lang w:eastAsia="ko-KR"/>
        </w:rPr>
        <w:t>Suomi NPP ATMS SDR Data Quality</w:t>
      </w:r>
      <w:r w:rsidR="001C543A" w:rsidRPr="00570A7F">
        <w:rPr>
          <w:lang w:eastAsia="ko-KR"/>
        </w:rPr>
        <w:t xml:space="preserve">”, </w:t>
      </w:r>
      <w:r w:rsidR="003F4994" w:rsidRPr="00570A7F">
        <w:rPr>
          <w:lang w:eastAsia="ko-KR"/>
        </w:rPr>
        <w:t xml:space="preserve">Suomi NPP SDR </w:t>
      </w:r>
      <w:r w:rsidR="003F4994">
        <w:rPr>
          <w:lang w:eastAsia="ko-KR"/>
        </w:rPr>
        <w:t xml:space="preserve">Science and </w:t>
      </w:r>
      <w:r w:rsidR="003F4994" w:rsidRPr="00570A7F">
        <w:rPr>
          <w:lang w:eastAsia="ko-KR"/>
        </w:rPr>
        <w:t xml:space="preserve">Product Review Meeting, </w:t>
      </w:r>
      <w:r w:rsidR="003F4994">
        <w:rPr>
          <w:lang w:eastAsia="ko-KR"/>
        </w:rPr>
        <w:t>December 18-20, 2013</w:t>
      </w:r>
      <w:r w:rsidR="003F4994" w:rsidRPr="00570A7F">
        <w:rPr>
          <w:lang w:eastAsia="ko-KR"/>
        </w:rPr>
        <w:t>.</w:t>
      </w:r>
    </w:p>
    <w:p w:rsidR="008C12DC" w:rsidRDefault="008C12DC" w:rsidP="00B407C3">
      <w:pPr>
        <w:spacing w:before="100" w:beforeAutospacing="1"/>
        <w:ind w:left="360"/>
        <w:rPr>
          <w:bCs/>
          <w:lang w:eastAsia="ko-KR"/>
        </w:rPr>
      </w:pPr>
      <w:r>
        <w:rPr>
          <w:lang w:eastAsia="ko-KR"/>
        </w:rPr>
        <w:t>[7</w:t>
      </w:r>
      <w:r w:rsidRPr="00570A7F">
        <w:rPr>
          <w:lang w:eastAsia="ko-KR"/>
        </w:rPr>
        <w:t>] A. Collard, J. Derber, R. Treadon,</w:t>
      </w:r>
      <w:r>
        <w:rPr>
          <w:lang w:eastAsia="ko-KR"/>
        </w:rPr>
        <w:t xml:space="preserve"> and</w:t>
      </w:r>
      <w:r w:rsidRPr="00570A7F">
        <w:rPr>
          <w:lang w:eastAsia="ko-KR"/>
        </w:rPr>
        <w:t xml:space="preserve"> D. Kleist, “Assimilation of CrIS and ATMS in the NCEP Global Model”, </w:t>
      </w:r>
      <w:r w:rsidR="00B91CC8" w:rsidRPr="00570A7F">
        <w:rPr>
          <w:lang w:eastAsia="ko-KR"/>
        </w:rPr>
        <w:t xml:space="preserve">Suomi NPP SDR </w:t>
      </w:r>
      <w:r w:rsidR="00B91CC8">
        <w:rPr>
          <w:lang w:eastAsia="ko-KR"/>
        </w:rPr>
        <w:t xml:space="preserve">Science and </w:t>
      </w:r>
      <w:r w:rsidR="00B91CC8" w:rsidRPr="00570A7F">
        <w:rPr>
          <w:lang w:eastAsia="ko-KR"/>
        </w:rPr>
        <w:t xml:space="preserve">Product Review Meeting, </w:t>
      </w:r>
      <w:r w:rsidR="00B91CC8">
        <w:rPr>
          <w:lang w:eastAsia="ko-KR"/>
        </w:rPr>
        <w:t>December 18-20, 2013</w:t>
      </w:r>
      <w:r w:rsidR="00B91CC8" w:rsidRPr="00570A7F">
        <w:rPr>
          <w:lang w:eastAsia="ko-KR"/>
        </w:rPr>
        <w:t>.</w:t>
      </w:r>
    </w:p>
    <w:p w:rsidR="003D2F85" w:rsidRPr="00570A7F" w:rsidRDefault="00F968EF" w:rsidP="00D00B34">
      <w:pPr>
        <w:spacing w:before="100" w:beforeAutospacing="1"/>
        <w:ind w:left="360"/>
        <w:rPr>
          <w:lang w:eastAsia="ko-KR"/>
        </w:rPr>
      </w:pPr>
      <w:r w:rsidRPr="00570A7F">
        <w:rPr>
          <w:bCs/>
          <w:lang w:eastAsia="ko-KR"/>
        </w:rPr>
        <w:t>[</w:t>
      </w:r>
      <w:r w:rsidR="0079245D">
        <w:rPr>
          <w:bCs/>
          <w:lang w:eastAsia="ko-KR"/>
        </w:rPr>
        <w:t>8</w:t>
      </w:r>
      <w:r w:rsidR="008B48D5" w:rsidRPr="00570A7F">
        <w:rPr>
          <w:bCs/>
          <w:lang w:eastAsia="ko-KR"/>
        </w:rPr>
        <w:t xml:space="preserve">] </w:t>
      </w:r>
      <w:r w:rsidR="001C543A" w:rsidRPr="00570A7F">
        <w:rPr>
          <w:bCs/>
          <w:lang w:val="en-GB" w:eastAsia="ko-KR"/>
        </w:rPr>
        <w:t>N. Bormann, M</w:t>
      </w:r>
      <w:r w:rsidR="006470AA" w:rsidRPr="00570A7F">
        <w:rPr>
          <w:bCs/>
          <w:lang w:val="en-GB" w:eastAsia="ko-KR"/>
        </w:rPr>
        <w:t>.</w:t>
      </w:r>
      <w:r w:rsidR="001C543A" w:rsidRPr="00570A7F">
        <w:rPr>
          <w:bCs/>
          <w:lang w:val="en-GB" w:eastAsia="ko-KR"/>
        </w:rPr>
        <w:t xml:space="preserve"> Dahoui</w:t>
      </w:r>
      <w:r w:rsidR="00D00B34">
        <w:rPr>
          <w:bCs/>
          <w:lang w:val="en-GB" w:eastAsia="ko-KR"/>
        </w:rPr>
        <w:t>, and H. Lawrence</w:t>
      </w:r>
      <w:r w:rsidR="006470AA" w:rsidRPr="00570A7F">
        <w:rPr>
          <w:bCs/>
          <w:lang w:val="en-GB" w:eastAsia="ko-KR"/>
        </w:rPr>
        <w:t xml:space="preserve"> (ECMWF), “</w:t>
      </w:r>
      <w:r w:rsidR="00D00B34">
        <w:rPr>
          <w:bCs/>
          <w:lang w:val="en-GB" w:eastAsia="ko-KR"/>
        </w:rPr>
        <w:t>An update on the use of ATMS data at ECMWF</w:t>
      </w:r>
      <w:r w:rsidR="002E2245">
        <w:rPr>
          <w:bCs/>
          <w:lang w:val="en-GB" w:eastAsia="ko-KR"/>
        </w:rPr>
        <w:t>”</w:t>
      </w:r>
      <w:r w:rsidR="006470AA" w:rsidRPr="00570A7F">
        <w:rPr>
          <w:bCs/>
          <w:lang w:val="en-GB" w:eastAsia="ko-KR"/>
        </w:rPr>
        <w:t xml:space="preserve">, </w:t>
      </w:r>
      <w:r w:rsidR="00D00B34" w:rsidRPr="00570A7F">
        <w:rPr>
          <w:lang w:eastAsia="ko-KR"/>
        </w:rPr>
        <w:t xml:space="preserve">Suomi NPP SDR </w:t>
      </w:r>
      <w:r w:rsidR="00D00B34">
        <w:rPr>
          <w:lang w:eastAsia="ko-KR"/>
        </w:rPr>
        <w:t xml:space="preserve">Science and </w:t>
      </w:r>
      <w:r w:rsidR="00D00B34" w:rsidRPr="00570A7F">
        <w:rPr>
          <w:lang w:eastAsia="ko-KR"/>
        </w:rPr>
        <w:t xml:space="preserve">Product Review Meeting, </w:t>
      </w:r>
      <w:r w:rsidR="00D00B34">
        <w:rPr>
          <w:lang w:eastAsia="ko-KR"/>
        </w:rPr>
        <w:t>December 18-20, 2013</w:t>
      </w:r>
      <w:r w:rsidR="00D00B34" w:rsidRPr="00570A7F">
        <w:rPr>
          <w:lang w:eastAsia="ko-KR"/>
        </w:rPr>
        <w:t>.</w:t>
      </w:r>
    </w:p>
    <w:p w:rsidR="00732DD2" w:rsidRDefault="008D60A9" w:rsidP="00B407C3">
      <w:pPr>
        <w:spacing w:before="100" w:beforeAutospacing="1"/>
        <w:ind w:left="360"/>
        <w:rPr>
          <w:lang w:eastAsia="ko-KR"/>
        </w:rPr>
      </w:pPr>
      <w:r>
        <w:rPr>
          <w:lang w:eastAsia="ko-KR"/>
        </w:rPr>
        <w:t>[9</w:t>
      </w:r>
      <w:r w:rsidR="00732DD2" w:rsidRPr="00570A7F">
        <w:rPr>
          <w:lang w:eastAsia="ko-KR"/>
        </w:rPr>
        <w:t xml:space="preserve">] </w:t>
      </w:r>
      <w:r>
        <w:rPr>
          <w:lang w:eastAsia="ko-KR"/>
        </w:rPr>
        <w:t>B. Ruston, S. Swadley, N. Baker, and R. Langland</w:t>
      </w:r>
      <w:r w:rsidR="008348A4">
        <w:rPr>
          <w:lang w:eastAsia="ko-KR"/>
        </w:rPr>
        <w:t xml:space="preserve"> (</w:t>
      </w:r>
      <w:r>
        <w:rPr>
          <w:lang w:eastAsia="ko-KR"/>
        </w:rPr>
        <w:t>NRL</w:t>
      </w:r>
      <w:r w:rsidR="008348A4">
        <w:rPr>
          <w:lang w:eastAsia="ko-KR"/>
        </w:rPr>
        <w:t>)</w:t>
      </w:r>
      <w:r w:rsidR="00732DD2" w:rsidRPr="00570A7F">
        <w:rPr>
          <w:lang w:eastAsia="ko-KR"/>
        </w:rPr>
        <w:t>, “</w:t>
      </w:r>
      <w:r>
        <w:rPr>
          <w:lang w:eastAsia="ko-KR"/>
        </w:rPr>
        <w:t>ATMS Microwave Sounder Assimilation at FNMOC with NAVGEM/NAVDAS-AR</w:t>
      </w:r>
      <w:r w:rsidR="00732DD2" w:rsidRPr="00570A7F">
        <w:rPr>
          <w:lang w:eastAsia="ko-KR"/>
        </w:rPr>
        <w:t xml:space="preserve">”, </w:t>
      </w:r>
      <w:r w:rsidRPr="00570A7F">
        <w:rPr>
          <w:lang w:eastAsia="ko-KR"/>
        </w:rPr>
        <w:t xml:space="preserve">Suomi NPP SDR </w:t>
      </w:r>
      <w:r>
        <w:rPr>
          <w:lang w:eastAsia="ko-KR"/>
        </w:rPr>
        <w:t xml:space="preserve">Science and </w:t>
      </w:r>
      <w:r w:rsidRPr="00570A7F">
        <w:rPr>
          <w:lang w:eastAsia="ko-KR"/>
        </w:rPr>
        <w:t xml:space="preserve">Product Review Meeting, </w:t>
      </w:r>
      <w:r>
        <w:rPr>
          <w:lang w:eastAsia="ko-KR"/>
        </w:rPr>
        <w:t>December 18-20, 2013</w:t>
      </w:r>
      <w:r w:rsidRPr="00570A7F">
        <w:rPr>
          <w:lang w:eastAsia="ko-KR"/>
        </w:rPr>
        <w:t>.</w:t>
      </w:r>
    </w:p>
    <w:p w:rsidR="006A7D07" w:rsidRDefault="006A7D07" w:rsidP="006A7D07">
      <w:pPr>
        <w:spacing w:before="100" w:beforeAutospacing="1"/>
        <w:ind w:left="360"/>
        <w:rPr>
          <w:lang w:eastAsia="ko-KR"/>
        </w:rPr>
      </w:pPr>
      <w:r>
        <w:rPr>
          <w:lang w:eastAsia="ko-KR"/>
        </w:rPr>
        <w:t>[10</w:t>
      </w:r>
      <w:r w:rsidRPr="00570A7F">
        <w:rPr>
          <w:lang w:eastAsia="ko-KR"/>
        </w:rPr>
        <w:t xml:space="preserve">] </w:t>
      </w:r>
      <w:r w:rsidR="00674E6A">
        <w:rPr>
          <w:lang w:eastAsia="ko-KR"/>
        </w:rPr>
        <w:t>O</w:t>
      </w:r>
      <w:r>
        <w:rPr>
          <w:lang w:eastAsia="ko-KR"/>
        </w:rPr>
        <w:t xml:space="preserve">. </w:t>
      </w:r>
      <w:r w:rsidR="00674E6A">
        <w:rPr>
          <w:lang w:eastAsia="ko-KR"/>
        </w:rPr>
        <w:t>Bruegman</w:t>
      </w:r>
      <w:r>
        <w:rPr>
          <w:lang w:eastAsia="ko-KR"/>
        </w:rPr>
        <w:t xml:space="preserve"> (</w:t>
      </w:r>
      <w:r w:rsidR="00674E6A">
        <w:rPr>
          <w:lang w:eastAsia="ko-KR"/>
        </w:rPr>
        <w:t>NJO</w:t>
      </w:r>
      <w:r>
        <w:rPr>
          <w:lang w:eastAsia="ko-KR"/>
        </w:rPr>
        <w:t>)</w:t>
      </w:r>
      <w:r w:rsidRPr="00570A7F">
        <w:rPr>
          <w:lang w:eastAsia="ko-KR"/>
        </w:rPr>
        <w:t>, “</w:t>
      </w:r>
      <w:r w:rsidR="00674E6A">
        <w:rPr>
          <w:lang w:eastAsia="ko-KR"/>
        </w:rPr>
        <w:t>SNPP ATMS Study of Mitigations To Extend On-Orbit Life Scan Drive Working Group Status</w:t>
      </w:r>
      <w:r w:rsidRPr="00570A7F">
        <w:rPr>
          <w:lang w:eastAsia="ko-KR"/>
        </w:rPr>
        <w:t xml:space="preserve">”, Suomi NPP SDR </w:t>
      </w:r>
      <w:r>
        <w:rPr>
          <w:lang w:eastAsia="ko-KR"/>
        </w:rPr>
        <w:t xml:space="preserve">Science and </w:t>
      </w:r>
      <w:r w:rsidRPr="00570A7F">
        <w:rPr>
          <w:lang w:eastAsia="ko-KR"/>
        </w:rPr>
        <w:t xml:space="preserve">Product Review Meeting, </w:t>
      </w:r>
      <w:r>
        <w:rPr>
          <w:lang w:eastAsia="ko-KR"/>
        </w:rPr>
        <w:t>December 18-20, 2013</w:t>
      </w:r>
      <w:r w:rsidRPr="00570A7F">
        <w:rPr>
          <w:lang w:eastAsia="ko-KR"/>
        </w:rPr>
        <w:t>.</w:t>
      </w:r>
    </w:p>
    <w:p w:rsidR="00940DE5" w:rsidRDefault="00940DE5" w:rsidP="00B407C3">
      <w:pPr>
        <w:suppressAutoHyphens w:val="0"/>
        <w:ind w:left="360"/>
        <w:rPr>
          <w:lang w:eastAsia="ko-KR"/>
        </w:rPr>
      </w:pPr>
    </w:p>
    <w:p w:rsidR="00940DE5" w:rsidRDefault="0063250B" w:rsidP="00B407C3">
      <w:pPr>
        <w:suppressAutoHyphens w:val="0"/>
        <w:ind w:left="360"/>
        <w:rPr>
          <w:rFonts w:eastAsia="Times New Roman"/>
        </w:rPr>
      </w:pPr>
      <w:r>
        <w:rPr>
          <w:lang w:eastAsia="ko-KR"/>
        </w:rPr>
        <w:t>[</w:t>
      </w:r>
      <w:r w:rsidR="001352A5">
        <w:rPr>
          <w:lang w:eastAsia="ko-KR"/>
        </w:rPr>
        <w:t>11</w:t>
      </w:r>
      <w:r w:rsidRPr="004B712A">
        <w:rPr>
          <w:lang w:eastAsia="ko-KR"/>
        </w:rPr>
        <w:t xml:space="preserve">] </w:t>
      </w:r>
      <w:r w:rsidR="007C255F" w:rsidRPr="004B712A">
        <w:rPr>
          <w:bCs/>
          <w:color w:val="000000"/>
        </w:rPr>
        <w:t>Weng, F., X. Zou</w:t>
      </w:r>
      <w:r w:rsidR="007C255F" w:rsidRPr="007C255F">
        <w:rPr>
          <w:bCs/>
          <w:color w:val="000000"/>
        </w:rPr>
        <w:t xml:space="preserve">, X. Wang, S. Yang, M. Goldberg, 2012: </w:t>
      </w:r>
      <w:r w:rsidR="007C255F" w:rsidRPr="00DB59BA">
        <w:t xml:space="preserve">Introduction to Suomi NPP ATMS for NWP and Tropical Cyclone Applications, </w:t>
      </w:r>
      <w:r w:rsidR="007C255F" w:rsidRPr="007C255F">
        <w:rPr>
          <w:i/>
        </w:rPr>
        <w:t>J. Geophys. Res.,</w:t>
      </w:r>
      <w:r w:rsidR="007C255F" w:rsidRPr="00DB59BA">
        <w:t xml:space="preserve"> </w:t>
      </w:r>
      <w:r w:rsidR="007C255F" w:rsidRPr="007C255F">
        <w:rPr>
          <w:rFonts w:eastAsia="Times New Roman"/>
        </w:rPr>
        <w:t>doi:10.1029/2012JD018144</w:t>
      </w:r>
    </w:p>
    <w:p w:rsidR="00BC6771" w:rsidRDefault="00BC6771" w:rsidP="00B407C3">
      <w:pPr>
        <w:suppressAutoHyphens w:val="0"/>
        <w:ind w:left="360"/>
        <w:rPr>
          <w:i/>
        </w:rPr>
      </w:pPr>
    </w:p>
    <w:p w:rsidR="006C3E1C" w:rsidRDefault="001352A5" w:rsidP="00B407C3">
      <w:pPr>
        <w:suppressAutoHyphens w:val="0"/>
        <w:ind w:left="360"/>
        <w:rPr>
          <w:rFonts w:ascii="Times-Roman" w:eastAsia="Calibri" w:hAnsi="Times-Roman" w:cs="Times-Roman"/>
        </w:rPr>
      </w:pPr>
      <w:r>
        <w:t>[12</w:t>
      </w:r>
      <w:r w:rsidR="007C255F" w:rsidRPr="004B712A">
        <w:t xml:space="preserve">] </w:t>
      </w:r>
      <w:r w:rsidR="00F47C4F" w:rsidRPr="00337FDC">
        <w:t>Weng, F</w:t>
      </w:r>
      <w:r w:rsidR="00F47C4F" w:rsidRPr="00AF2668">
        <w:t xml:space="preserve">., H. Yang, X. Zou, 2012: </w:t>
      </w:r>
      <w:r w:rsidR="00F47C4F" w:rsidRPr="00AF2668">
        <w:rPr>
          <w:rFonts w:cs="Helvetica"/>
          <w:bCs/>
        </w:rPr>
        <w:t xml:space="preserve">On Convertibility from </w:t>
      </w:r>
      <w:r w:rsidR="00F47C4F">
        <w:rPr>
          <w:rFonts w:cs="Helvetica"/>
          <w:bCs/>
        </w:rPr>
        <w:t>A</w:t>
      </w:r>
      <w:r w:rsidR="00F47C4F" w:rsidRPr="00AF2668">
        <w:rPr>
          <w:rFonts w:cs="Helvetica"/>
          <w:bCs/>
        </w:rPr>
        <w:t>ntenna to Sensor Brightness</w:t>
      </w:r>
      <w:r w:rsidR="00F47C4F">
        <w:rPr>
          <w:rFonts w:cs="Helvetica"/>
          <w:bCs/>
        </w:rPr>
        <w:t xml:space="preserve"> </w:t>
      </w:r>
      <w:r w:rsidR="00F47C4F" w:rsidRPr="00AF2668">
        <w:rPr>
          <w:rFonts w:cs="Helvetica"/>
          <w:bCs/>
        </w:rPr>
        <w:t>Temperature for Advanced Technology Microwave Sounder (ATMS</w:t>
      </w:r>
      <w:r w:rsidR="00F47C4F" w:rsidRPr="00AF2668">
        <w:rPr>
          <w:rFonts w:cs="Helvetica"/>
          <w:bCs/>
          <w:i/>
        </w:rPr>
        <w:t>)</w:t>
      </w:r>
      <w:r w:rsidR="00F47C4F" w:rsidRPr="00AF2668">
        <w:rPr>
          <w:i/>
        </w:rPr>
        <w:t>, IEEE Geosci. Rem</w:t>
      </w:r>
      <w:r w:rsidR="00F47C4F">
        <w:rPr>
          <w:i/>
        </w:rPr>
        <w:t>ote</w:t>
      </w:r>
      <w:r w:rsidR="00F47C4F" w:rsidRPr="00AF2668">
        <w:rPr>
          <w:i/>
        </w:rPr>
        <w:t xml:space="preserve">. Sens. Letter, </w:t>
      </w:r>
      <w:r w:rsidR="00F47C4F" w:rsidRPr="006D5262">
        <w:rPr>
          <w:rFonts w:ascii="Times-Roman" w:eastAsia="Calibri" w:hAnsi="Times-Roman" w:cs="Times-Roman"/>
        </w:rPr>
        <w:t>10.1109/LGRS.2012.2223193</w:t>
      </w:r>
    </w:p>
    <w:p w:rsidR="00B407C3" w:rsidRDefault="00B407C3" w:rsidP="00B407C3">
      <w:pPr>
        <w:suppressAutoHyphens w:val="0"/>
        <w:ind w:left="360"/>
      </w:pPr>
    </w:p>
    <w:p w:rsidR="00F47C4F" w:rsidRDefault="006C3E1C" w:rsidP="00B407C3">
      <w:pPr>
        <w:suppressAutoHyphens w:val="0"/>
        <w:ind w:left="360"/>
      </w:pPr>
      <w:r>
        <w:t>[1</w:t>
      </w:r>
      <w:r w:rsidR="001352A5">
        <w:t>3</w:t>
      </w:r>
      <w:r>
        <w:t xml:space="preserve">] Zou X., L. Lin, and F. Weng, 2013: Absolute Calibration of ATMS Upper Level Temperature Sounding Channels Using GPS RO Observations, </w:t>
      </w:r>
      <w:r w:rsidR="00B96A6D" w:rsidRPr="00B96A6D">
        <w:rPr>
          <w:i/>
        </w:rPr>
        <w:t>IEEE Trans. Geoscie. Remote Sensing, (accepted).</w:t>
      </w:r>
      <w:r>
        <w:t xml:space="preserve"> </w:t>
      </w:r>
    </w:p>
    <w:p w:rsidR="00B407C3" w:rsidRDefault="00B407C3" w:rsidP="00B407C3">
      <w:pPr>
        <w:suppressAutoHyphens w:val="0"/>
        <w:ind w:left="360"/>
      </w:pPr>
    </w:p>
    <w:p w:rsidR="00940DE5" w:rsidRDefault="00F47C4F" w:rsidP="00B407C3">
      <w:pPr>
        <w:suppressAutoHyphens w:val="0"/>
        <w:ind w:left="360"/>
      </w:pPr>
      <w:r>
        <w:t>[1</w:t>
      </w:r>
      <w:r w:rsidR="001352A5">
        <w:t>4</w:t>
      </w:r>
      <w:r>
        <w:t>]</w:t>
      </w:r>
      <w:r w:rsidR="00337FDC">
        <w:t xml:space="preserve"> </w:t>
      </w:r>
      <w:r w:rsidRPr="00337FDC">
        <w:t>Weng, F</w:t>
      </w:r>
      <w:r w:rsidRPr="000635AF">
        <w:t xml:space="preserve">. and X. Zou, 2013: Errors from Rayleigh–Jeans Approximation in </w:t>
      </w:r>
      <w:r>
        <w:t>Satellite Microwave Radiometer Calibration System</w:t>
      </w:r>
      <w:r w:rsidR="00964537">
        <w:t>s</w:t>
      </w:r>
      <w:r w:rsidRPr="000635AF">
        <w:t xml:space="preserve">, </w:t>
      </w:r>
      <w:r w:rsidRPr="00A95AED">
        <w:rPr>
          <w:i/>
        </w:rPr>
        <w:t>Appl</w:t>
      </w:r>
      <w:r>
        <w:rPr>
          <w:i/>
        </w:rPr>
        <w:t>.</w:t>
      </w:r>
      <w:r w:rsidRPr="00A95AED">
        <w:rPr>
          <w:i/>
        </w:rPr>
        <w:t xml:space="preserve"> Optics</w:t>
      </w:r>
      <w:r w:rsidRPr="000635AF">
        <w:t xml:space="preserve">, </w:t>
      </w:r>
      <w:r w:rsidR="00964537" w:rsidRPr="00964537">
        <w:rPr>
          <w:b/>
        </w:rPr>
        <w:t>12</w:t>
      </w:r>
      <w:r w:rsidR="00964537">
        <w:t>, 505-508</w:t>
      </w:r>
    </w:p>
    <w:p w:rsidR="001352A5" w:rsidRDefault="001352A5" w:rsidP="00B407C3">
      <w:pPr>
        <w:suppressAutoHyphens w:val="0"/>
        <w:ind w:left="360"/>
      </w:pPr>
    </w:p>
    <w:p w:rsidR="00AD0344" w:rsidRPr="00570A7F" w:rsidRDefault="001352A5" w:rsidP="00FE2B6C">
      <w:pPr>
        <w:pStyle w:val="Default"/>
        <w:ind w:left="360"/>
        <w:jc w:val="both"/>
        <w:rPr>
          <w:szCs w:val="20"/>
          <w:lang w:eastAsia="zh-CN"/>
        </w:rPr>
      </w:pPr>
      <w:r>
        <w:rPr>
          <w:rFonts w:ascii="Times New Roman" w:hAnsi="Times New Roman"/>
        </w:rPr>
        <w:t xml:space="preserve">[15] </w:t>
      </w:r>
      <w:r w:rsidRPr="003440EC">
        <w:rPr>
          <w:rFonts w:ascii="Times New Roman" w:hAnsi="Times New Roman"/>
        </w:rPr>
        <w:t xml:space="preserve">Weng, F., X. Zou, N. Sun, H. Yang, M. Tian, W.J. Blackwell, X. Wang, L. Lin, and K. Anderson, </w:t>
      </w:r>
      <w:r>
        <w:rPr>
          <w:rFonts w:ascii="Times New Roman" w:hAnsi="Times New Roman"/>
        </w:rPr>
        <w:t>2013:</w:t>
      </w:r>
      <w:r w:rsidRPr="003440EC">
        <w:rPr>
          <w:rFonts w:ascii="Times New Roman" w:hAnsi="Times New Roman"/>
        </w:rPr>
        <w:t xml:space="preserve"> Calibration of Suomi National Polar-Orbiting Partnership (NPP) Advanced Technology Microwave Sounder (ATMS), </w:t>
      </w:r>
      <w:r w:rsidRPr="003440EC">
        <w:rPr>
          <w:rFonts w:ascii="Times New Roman" w:hAnsi="Times New Roman"/>
          <w:i/>
          <w:iCs/>
        </w:rPr>
        <w:t>J. Geophys. Res.</w:t>
      </w:r>
      <w:r w:rsidRPr="003440EC">
        <w:rPr>
          <w:rFonts w:ascii="Times New Roman" w:hAnsi="Times New Roman"/>
        </w:rPr>
        <w:t xml:space="preserve"> Atmos., </w:t>
      </w:r>
      <w:r w:rsidRPr="003440EC">
        <w:rPr>
          <w:rFonts w:ascii="Times New Roman" w:hAnsi="Times New Roman"/>
          <w:b/>
          <w:bCs/>
        </w:rPr>
        <w:t>118</w:t>
      </w:r>
      <w:r w:rsidRPr="003440EC">
        <w:rPr>
          <w:rFonts w:ascii="Times New Roman" w:hAnsi="Times New Roman"/>
        </w:rPr>
        <w:t>, 1–14, doi:10.1002/jgrd.50840</w:t>
      </w:r>
    </w:p>
    <w:sectPr w:rsidR="00AD0344" w:rsidRPr="00570A7F" w:rsidSect="00FC15C5">
      <w:headerReference w:type="default" r:id="rId9"/>
      <w:footerReference w:type="default" r:id="rId10"/>
      <w:pgSz w:w="12240" w:h="15840"/>
      <w:pgMar w:top="5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14" w:rsidRDefault="006A2B14" w:rsidP="00AD0344">
      <w:r>
        <w:separator/>
      </w:r>
    </w:p>
  </w:endnote>
  <w:endnote w:type="continuationSeparator" w:id="0">
    <w:p w:rsidR="006A2B14" w:rsidRDefault="006A2B14" w:rsidP="00AD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04375"/>
      <w:docPartObj>
        <w:docPartGallery w:val="Page Numbers (Bottom of Page)"/>
        <w:docPartUnique/>
      </w:docPartObj>
    </w:sdtPr>
    <w:sdtEndPr/>
    <w:sdtContent>
      <w:p w:rsidR="009C4224" w:rsidRDefault="00315DD8">
        <w:pPr>
          <w:pStyle w:val="Footer"/>
          <w:jc w:val="right"/>
        </w:pPr>
        <w:r>
          <w:fldChar w:fldCharType="begin"/>
        </w:r>
        <w:r w:rsidR="008F5641">
          <w:instrText xml:space="preserve"> PAGE   \* MERGEFORMAT </w:instrText>
        </w:r>
        <w:r>
          <w:fldChar w:fldCharType="separate"/>
        </w:r>
        <w:r w:rsidR="009A2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224" w:rsidRDefault="009C4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14" w:rsidRDefault="006A2B14" w:rsidP="00AD0344">
      <w:r>
        <w:separator/>
      </w:r>
    </w:p>
  </w:footnote>
  <w:footnote w:type="continuationSeparator" w:id="0">
    <w:p w:rsidR="006A2B14" w:rsidRDefault="006A2B14" w:rsidP="00AD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0B" w:rsidRDefault="00FC15C5" w:rsidP="00AD0344">
    <w:pPr>
      <w:pStyle w:val="Header"/>
      <w:tabs>
        <w:tab w:val="clear" w:pos="4680"/>
        <w:tab w:val="clear" w:pos="9360"/>
        <w:tab w:val="left" w:pos="8505"/>
      </w:tabs>
      <w:jc w:val="right"/>
    </w:pPr>
    <w:r w:rsidRPr="00FC15C5">
      <w:rPr>
        <w:noProof/>
        <w:lang w:eastAsia="en-US"/>
      </w:rPr>
      <w:drawing>
        <wp:inline distT="0" distB="0" distL="0" distR="0">
          <wp:extent cx="580604" cy="571500"/>
          <wp:effectExtent l="19050" t="0" r="0" b="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80" cy="57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250B">
      <w:t xml:space="preserve">                                                                                            </w:t>
    </w:r>
    <w:r>
      <w:t xml:space="preserve">                              </w:t>
    </w:r>
    <w:r w:rsidRPr="00FC15C5">
      <w:rPr>
        <w:noProof/>
        <w:lang w:eastAsia="en-US"/>
      </w:rPr>
      <w:drawing>
        <wp:inline distT="0" distB="0" distL="0" distR="0">
          <wp:extent cx="603504" cy="571500"/>
          <wp:effectExtent l="19050" t="0" r="6096" b="0"/>
          <wp:docPr id="1" name="Picture 1" descr="JPSS Logo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JPSS Logo5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5C5" w:rsidRDefault="00FC15C5" w:rsidP="00AD0344">
    <w:pPr>
      <w:pStyle w:val="Header"/>
      <w:tabs>
        <w:tab w:val="clear" w:pos="4680"/>
        <w:tab w:val="clear" w:pos="9360"/>
        <w:tab w:val="left" w:pos="850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D92070"/>
    <w:multiLevelType w:val="hybridMultilevel"/>
    <w:tmpl w:val="5E36CA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CC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EE6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8C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4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2E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4AD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026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6D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E25AE1"/>
    <w:multiLevelType w:val="hybridMultilevel"/>
    <w:tmpl w:val="373C6D34"/>
    <w:lvl w:ilvl="0" w:tplc="F8464E3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D238C"/>
    <w:multiLevelType w:val="hybridMultilevel"/>
    <w:tmpl w:val="C3E2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C595B"/>
    <w:multiLevelType w:val="hybridMultilevel"/>
    <w:tmpl w:val="5C221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7030"/>
    <w:multiLevelType w:val="hybridMultilevel"/>
    <w:tmpl w:val="2A80D05C"/>
    <w:lvl w:ilvl="0" w:tplc="713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353222"/>
    <w:multiLevelType w:val="hybridMultilevel"/>
    <w:tmpl w:val="7DF0C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13457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6E28"/>
    <w:multiLevelType w:val="hybridMultilevel"/>
    <w:tmpl w:val="794CFCBA"/>
    <w:lvl w:ilvl="0" w:tplc="115677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7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AEA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C9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620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48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411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16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C78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CE0C57"/>
    <w:multiLevelType w:val="hybridMultilevel"/>
    <w:tmpl w:val="61EE478A"/>
    <w:lvl w:ilvl="0" w:tplc="D2E6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3554"/>
    <w:multiLevelType w:val="hybridMultilevel"/>
    <w:tmpl w:val="FF76E1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F6B32"/>
    <w:multiLevelType w:val="hybridMultilevel"/>
    <w:tmpl w:val="410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F10FB"/>
    <w:multiLevelType w:val="hybridMultilevel"/>
    <w:tmpl w:val="23ACC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AD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AC7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40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888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A68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0F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98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61F46"/>
    <w:multiLevelType w:val="hybridMultilevel"/>
    <w:tmpl w:val="F5427916"/>
    <w:lvl w:ilvl="0" w:tplc="C6986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AD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AC7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40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888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A68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0F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98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117C21"/>
    <w:multiLevelType w:val="hybridMultilevel"/>
    <w:tmpl w:val="920EB1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1C255D"/>
    <w:multiLevelType w:val="hybridMultilevel"/>
    <w:tmpl w:val="6EE23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B6AF4"/>
    <w:multiLevelType w:val="hybridMultilevel"/>
    <w:tmpl w:val="CAEE8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000712"/>
    <w:multiLevelType w:val="hybridMultilevel"/>
    <w:tmpl w:val="6B92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AF4A96"/>
    <w:multiLevelType w:val="hybridMultilevel"/>
    <w:tmpl w:val="20ACD6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45784F"/>
    <w:multiLevelType w:val="hybridMultilevel"/>
    <w:tmpl w:val="6512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A4845"/>
    <w:multiLevelType w:val="hybridMultilevel"/>
    <w:tmpl w:val="7DF0C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13457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7593D"/>
    <w:multiLevelType w:val="hybridMultilevel"/>
    <w:tmpl w:val="FF76E1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E274E3"/>
    <w:multiLevelType w:val="hybridMultilevel"/>
    <w:tmpl w:val="28A6C6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E101C"/>
    <w:multiLevelType w:val="hybridMultilevel"/>
    <w:tmpl w:val="86C49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11993"/>
    <w:multiLevelType w:val="hybridMultilevel"/>
    <w:tmpl w:val="9620BDA6"/>
    <w:lvl w:ilvl="0" w:tplc="FB72D6C4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D04C7"/>
    <w:multiLevelType w:val="hybridMultilevel"/>
    <w:tmpl w:val="D8524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E7716"/>
    <w:multiLevelType w:val="hybridMultilevel"/>
    <w:tmpl w:val="8CAC148A"/>
    <w:lvl w:ilvl="0" w:tplc="48323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CC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EE6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8C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4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2E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4AD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026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6D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965163"/>
    <w:multiLevelType w:val="hybridMultilevel"/>
    <w:tmpl w:val="0F220218"/>
    <w:lvl w:ilvl="0" w:tplc="D544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CE360">
      <w:start w:val="11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E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8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AA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E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4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F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BE96E66"/>
    <w:multiLevelType w:val="hybridMultilevel"/>
    <w:tmpl w:val="5BB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FB4"/>
    <w:multiLevelType w:val="hybridMultilevel"/>
    <w:tmpl w:val="39D28500"/>
    <w:lvl w:ilvl="0" w:tplc="F50A22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4D4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61E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445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6B9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97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E07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9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A01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8924EA"/>
    <w:multiLevelType w:val="hybridMultilevel"/>
    <w:tmpl w:val="DC3095DA"/>
    <w:lvl w:ilvl="0" w:tplc="FD02D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064D0C"/>
    <w:multiLevelType w:val="hybridMultilevel"/>
    <w:tmpl w:val="2B803676"/>
    <w:lvl w:ilvl="0" w:tplc="A9862D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C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30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67C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C2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B0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F7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4AB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204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9"/>
  </w:num>
  <w:num w:numId="6">
    <w:abstractNumId w:val="18"/>
  </w:num>
  <w:num w:numId="7">
    <w:abstractNumId w:val="24"/>
  </w:num>
  <w:num w:numId="8">
    <w:abstractNumId w:val="17"/>
  </w:num>
  <w:num w:numId="9">
    <w:abstractNumId w:val="31"/>
  </w:num>
  <w:num w:numId="10">
    <w:abstractNumId w:val="16"/>
  </w:num>
  <w:num w:numId="11">
    <w:abstractNumId w:val="6"/>
  </w:num>
  <w:num w:numId="12">
    <w:abstractNumId w:val="8"/>
  </w:num>
  <w:num w:numId="13">
    <w:abstractNumId w:val="28"/>
  </w:num>
  <w:num w:numId="14">
    <w:abstractNumId w:val="26"/>
  </w:num>
  <w:num w:numId="15">
    <w:abstractNumId w:val="4"/>
  </w:num>
  <w:num w:numId="16">
    <w:abstractNumId w:val="21"/>
  </w:num>
  <w:num w:numId="17">
    <w:abstractNumId w:val="25"/>
  </w:num>
  <w:num w:numId="18">
    <w:abstractNumId w:val="10"/>
  </w:num>
  <w:num w:numId="19">
    <w:abstractNumId w:val="7"/>
  </w:num>
  <w:num w:numId="20">
    <w:abstractNumId w:val="14"/>
  </w:num>
  <w:num w:numId="21">
    <w:abstractNumId w:val="13"/>
  </w:num>
  <w:num w:numId="22">
    <w:abstractNumId w:val="15"/>
  </w:num>
  <w:num w:numId="23">
    <w:abstractNumId w:val="11"/>
  </w:num>
  <w:num w:numId="24">
    <w:abstractNumId w:val="32"/>
  </w:num>
  <w:num w:numId="25">
    <w:abstractNumId w:val="30"/>
  </w:num>
  <w:num w:numId="26">
    <w:abstractNumId w:val="9"/>
  </w:num>
  <w:num w:numId="27">
    <w:abstractNumId w:val="19"/>
  </w:num>
  <w:num w:numId="28">
    <w:abstractNumId w:val="27"/>
  </w:num>
  <w:num w:numId="29">
    <w:abstractNumId w:val="3"/>
  </w:num>
  <w:num w:numId="30">
    <w:abstractNumId w:val="5"/>
  </w:num>
  <w:num w:numId="31">
    <w:abstractNumId w:val="20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1B8"/>
    <w:rsid w:val="00007CF2"/>
    <w:rsid w:val="000159DF"/>
    <w:rsid w:val="0002360D"/>
    <w:rsid w:val="00037ADD"/>
    <w:rsid w:val="00042EEF"/>
    <w:rsid w:val="000443B6"/>
    <w:rsid w:val="000456C1"/>
    <w:rsid w:val="0005203B"/>
    <w:rsid w:val="00053176"/>
    <w:rsid w:val="0005424C"/>
    <w:rsid w:val="000553B3"/>
    <w:rsid w:val="000620CF"/>
    <w:rsid w:val="00064182"/>
    <w:rsid w:val="00064593"/>
    <w:rsid w:val="000646EF"/>
    <w:rsid w:val="00070075"/>
    <w:rsid w:val="000725F9"/>
    <w:rsid w:val="00074461"/>
    <w:rsid w:val="00074B79"/>
    <w:rsid w:val="000864C8"/>
    <w:rsid w:val="000917BD"/>
    <w:rsid w:val="00094B51"/>
    <w:rsid w:val="00096943"/>
    <w:rsid w:val="000B0518"/>
    <w:rsid w:val="000B0C64"/>
    <w:rsid w:val="000B5944"/>
    <w:rsid w:val="000C63FB"/>
    <w:rsid w:val="000C70D0"/>
    <w:rsid w:val="000D0636"/>
    <w:rsid w:val="000D439F"/>
    <w:rsid w:val="000E15DE"/>
    <w:rsid w:val="000E2049"/>
    <w:rsid w:val="000E4014"/>
    <w:rsid w:val="000E7D7F"/>
    <w:rsid w:val="000F26D5"/>
    <w:rsid w:val="000F4D00"/>
    <w:rsid w:val="00102BD4"/>
    <w:rsid w:val="00105023"/>
    <w:rsid w:val="00112F05"/>
    <w:rsid w:val="00113DEB"/>
    <w:rsid w:val="00117FE5"/>
    <w:rsid w:val="00120933"/>
    <w:rsid w:val="00121534"/>
    <w:rsid w:val="00125A55"/>
    <w:rsid w:val="00126DE3"/>
    <w:rsid w:val="00133370"/>
    <w:rsid w:val="00135286"/>
    <w:rsid w:val="001352A5"/>
    <w:rsid w:val="00137FA4"/>
    <w:rsid w:val="0014189E"/>
    <w:rsid w:val="00146624"/>
    <w:rsid w:val="00153FC2"/>
    <w:rsid w:val="00160EE2"/>
    <w:rsid w:val="00163BEA"/>
    <w:rsid w:val="00163FA3"/>
    <w:rsid w:val="00165B8C"/>
    <w:rsid w:val="00165BB8"/>
    <w:rsid w:val="00174373"/>
    <w:rsid w:val="0017555E"/>
    <w:rsid w:val="0018078B"/>
    <w:rsid w:val="00181F97"/>
    <w:rsid w:val="00183397"/>
    <w:rsid w:val="00183884"/>
    <w:rsid w:val="0018607A"/>
    <w:rsid w:val="0018636D"/>
    <w:rsid w:val="0018762F"/>
    <w:rsid w:val="001926A4"/>
    <w:rsid w:val="00195950"/>
    <w:rsid w:val="00197CC7"/>
    <w:rsid w:val="001A13D1"/>
    <w:rsid w:val="001A7E48"/>
    <w:rsid w:val="001C38F4"/>
    <w:rsid w:val="001C543A"/>
    <w:rsid w:val="001C5B82"/>
    <w:rsid w:val="001C69F3"/>
    <w:rsid w:val="001C7577"/>
    <w:rsid w:val="001D2E18"/>
    <w:rsid w:val="001D3DE1"/>
    <w:rsid w:val="001D6343"/>
    <w:rsid w:val="001E00DF"/>
    <w:rsid w:val="001E416F"/>
    <w:rsid w:val="001E7B8A"/>
    <w:rsid w:val="001F51A8"/>
    <w:rsid w:val="001F79BD"/>
    <w:rsid w:val="002009BC"/>
    <w:rsid w:val="00201D29"/>
    <w:rsid w:val="00205CBB"/>
    <w:rsid w:val="002136BA"/>
    <w:rsid w:val="0021636D"/>
    <w:rsid w:val="0021692C"/>
    <w:rsid w:val="00221F4E"/>
    <w:rsid w:val="002229F8"/>
    <w:rsid w:val="00230F41"/>
    <w:rsid w:val="00231422"/>
    <w:rsid w:val="002342BC"/>
    <w:rsid w:val="00235E6A"/>
    <w:rsid w:val="00236397"/>
    <w:rsid w:val="00237BF6"/>
    <w:rsid w:val="00242FD3"/>
    <w:rsid w:val="00257DBB"/>
    <w:rsid w:val="00266088"/>
    <w:rsid w:val="002772E5"/>
    <w:rsid w:val="00292FCB"/>
    <w:rsid w:val="002A0A55"/>
    <w:rsid w:val="002A4B4B"/>
    <w:rsid w:val="002B3CBE"/>
    <w:rsid w:val="002B4F56"/>
    <w:rsid w:val="002B569F"/>
    <w:rsid w:val="002C0AA8"/>
    <w:rsid w:val="002C6E98"/>
    <w:rsid w:val="002D014D"/>
    <w:rsid w:val="002D62EF"/>
    <w:rsid w:val="002D6CAC"/>
    <w:rsid w:val="002E2245"/>
    <w:rsid w:val="002F4B21"/>
    <w:rsid w:val="003037C7"/>
    <w:rsid w:val="00304956"/>
    <w:rsid w:val="00315202"/>
    <w:rsid w:val="00315DD8"/>
    <w:rsid w:val="00316155"/>
    <w:rsid w:val="00316EC9"/>
    <w:rsid w:val="003172E4"/>
    <w:rsid w:val="00321313"/>
    <w:rsid w:val="0032564F"/>
    <w:rsid w:val="003266D5"/>
    <w:rsid w:val="00327FAF"/>
    <w:rsid w:val="003326D7"/>
    <w:rsid w:val="00333630"/>
    <w:rsid w:val="00333B1D"/>
    <w:rsid w:val="00337FDC"/>
    <w:rsid w:val="003418E1"/>
    <w:rsid w:val="00352593"/>
    <w:rsid w:val="00352F5E"/>
    <w:rsid w:val="0035462B"/>
    <w:rsid w:val="00354D3D"/>
    <w:rsid w:val="00356F06"/>
    <w:rsid w:val="00357E61"/>
    <w:rsid w:val="003614DD"/>
    <w:rsid w:val="003616A4"/>
    <w:rsid w:val="00371FF5"/>
    <w:rsid w:val="0037377E"/>
    <w:rsid w:val="00375E5D"/>
    <w:rsid w:val="003760EB"/>
    <w:rsid w:val="00385549"/>
    <w:rsid w:val="00386455"/>
    <w:rsid w:val="0039185E"/>
    <w:rsid w:val="0039568C"/>
    <w:rsid w:val="00396DA2"/>
    <w:rsid w:val="003A0FB8"/>
    <w:rsid w:val="003A1876"/>
    <w:rsid w:val="003A2AD3"/>
    <w:rsid w:val="003A37A1"/>
    <w:rsid w:val="003A65FE"/>
    <w:rsid w:val="003B02A8"/>
    <w:rsid w:val="003B39D1"/>
    <w:rsid w:val="003B587F"/>
    <w:rsid w:val="003B5A5D"/>
    <w:rsid w:val="003B6D29"/>
    <w:rsid w:val="003C435C"/>
    <w:rsid w:val="003C4FFA"/>
    <w:rsid w:val="003C64E3"/>
    <w:rsid w:val="003C7BF6"/>
    <w:rsid w:val="003D2F85"/>
    <w:rsid w:val="003D53F6"/>
    <w:rsid w:val="003D772F"/>
    <w:rsid w:val="003E2A3B"/>
    <w:rsid w:val="003F0618"/>
    <w:rsid w:val="003F0B4E"/>
    <w:rsid w:val="003F26DF"/>
    <w:rsid w:val="003F4994"/>
    <w:rsid w:val="003F62B6"/>
    <w:rsid w:val="004031C9"/>
    <w:rsid w:val="00403CAD"/>
    <w:rsid w:val="00403E17"/>
    <w:rsid w:val="00405B62"/>
    <w:rsid w:val="004071C0"/>
    <w:rsid w:val="004137C3"/>
    <w:rsid w:val="004146FD"/>
    <w:rsid w:val="004150B0"/>
    <w:rsid w:val="004163F0"/>
    <w:rsid w:val="00416F94"/>
    <w:rsid w:val="004177D0"/>
    <w:rsid w:val="00417BB4"/>
    <w:rsid w:val="0042203E"/>
    <w:rsid w:val="0042239D"/>
    <w:rsid w:val="00423C6B"/>
    <w:rsid w:val="00424860"/>
    <w:rsid w:val="00424CF6"/>
    <w:rsid w:val="00431E42"/>
    <w:rsid w:val="00436C80"/>
    <w:rsid w:val="004376BD"/>
    <w:rsid w:val="00440E23"/>
    <w:rsid w:val="004504B2"/>
    <w:rsid w:val="00452816"/>
    <w:rsid w:val="00453C53"/>
    <w:rsid w:val="004679CE"/>
    <w:rsid w:val="004758B5"/>
    <w:rsid w:val="00476D05"/>
    <w:rsid w:val="00481799"/>
    <w:rsid w:val="00482B12"/>
    <w:rsid w:val="00485F63"/>
    <w:rsid w:val="00486712"/>
    <w:rsid w:val="00490B16"/>
    <w:rsid w:val="00491DF4"/>
    <w:rsid w:val="00494DC8"/>
    <w:rsid w:val="004A415B"/>
    <w:rsid w:val="004A5D63"/>
    <w:rsid w:val="004A7D88"/>
    <w:rsid w:val="004B1687"/>
    <w:rsid w:val="004B5D70"/>
    <w:rsid w:val="004B6115"/>
    <w:rsid w:val="004B6D2C"/>
    <w:rsid w:val="004B712A"/>
    <w:rsid w:val="004B7D05"/>
    <w:rsid w:val="004C041D"/>
    <w:rsid w:val="004C0E88"/>
    <w:rsid w:val="004C39E2"/>
    <w:rsid w:val="004C4928"/>
    <w:rsid w:val="004D31B6"/>
    <w:rsid w:val="004D41C4"/>
    <w:rsid w:val="004E2A13"/>
    <w:rsid w:val="004E323A"/>
    <w:rsid w:val="004E4822"/>
    <w:rsid w:val="004E4B10"/>
    <w:rsid w:val="004E5387"/>
    <w:rsid w:val="004E79C4"/>
    <w:rsid w:val="004F06D5"/>
    <w:rsid w:val="004F178B"/>
    <w:rsid w:val="004F3977"/>
    <w:rsid w:val="004F4069"/>
    <w:rsid w:val="004F78F5"/>
    <w:rsid w:val="00502584"/>
    <w:rsid w:val="00504D16"/>
    <w:rsid w:val="00505C5A"/>
    <w:rsid w:val="00510918"/>
    <w:rsid w:val="00520B16"/>
    <w:rsid w:val="005225D5"/>
    <w:rsid w:val="0052553F"/>
    <w:rsid w:val="005334EA"/>
    <w:rsid w:val="00545184"/>
    <w:rsid w:val="005476BA"/>
    <w:rsid w:val="00547C1E"/>
    <w:rsid w:val="00552B1B"/>
    <w:rsid w:val="00560829"/>
    <w:rsid w:val="00570A7F"/>
    <w:rsid w:val="0057256C"/>
    <w:rsid w:val="00573FBB"/>
    <w:rsid w:val="00577732"/>
    <w:rsid w:val="00577CE4"/>
    <w:rsid w:val="00581AB4"/>
    <w:rsid w:val="0058267E"/>
    <w:rsid w:val="00587AB9"/>
    <w:rsid w:val="005941A3"/>
    <w:rsid w:val="005A2804"/>
    <w:rsid w:val="005A7606"/>
    <w:rsid w:val="005B06D1"/>
    <w:rsid w:val="005B0F17"/>
    <w:rsid w:val="005B6162"/>
    <w:rsid w:val="005C7FFB"/>
    <w:rsid w:val="005D29CB"/>
    <w:rsid w:val="005D485A"/>
    <w:rsid w:val="005D5042"/>
    <w:rsid w:val="005E0C82"/>
    <w:rsid w:val="005E3F6B"/>
    <w:rsid w:val="005E4966"/>
    <w:rsid w:val="005E7D92"/>
    <w:rsid w:val="005F42A6"/>
    <w:rsid w:val="005F52C9"/>
    <w:rsid w:val="00604A9B"/>
    <w:rsid w:val="00607622"/>
    <w:rsid w:val="00612A8F"/>
    <w:rsid w:val="00613BF6"/>
    <w:rsid w:val="0061467C"/>
    <w:rsid w:val="0061591A"/>
    <w:rsid w:val="00617833"/>
    <w:rsid w:val="00621B9D"/>
    <w:rsid w:val="00622D3B"/>
    <w:rsid w:val="0063250B"/>
    <w:rsid w:val="00634705"/>
    <w:rsid w:val="00635739"/>
    <w:rsid w:val="00636D57"/>
    <w:rsid w:val="00637533"/>
    <w:rsid w:val="00641A26"/>
    <w:rsid w:val="006422DD"/>
    <w:rsid w:val="00644613"/>
    <w:rsid w:val="00644811"/>
    <w:rsid w:val="0064552A"/>
    <w:rsid w:val="00645CB3"/>
    <w:rsid w:val="006470AA"/>
    <w:rsid w:val="00655E34"/>
    <w:rsid w:val="00656F52"/>
    <w:rsid w:val="00671986"/>
    <w:rsid w:val="00672303"/>
    <w:rsid w:val="00674E6A"/>
    <w:rsid w:val="006811D6"/>
    <w:rsid w:val="00681778"/>
    <w:rsid w:val="0068753C"/>
    <w:rsid w:val="00692403"/>
    <w:rsid w:val="006A1CC7"/>
    <w:rsid w:val="006A2305"/>
    <w:rsid w:val="006A2B14"/>
    <w:rsid w:val="006A7D07"/>
    <w:rsid w:val="006C3950"/>
    <w:rsid w:val="006C3E1C"/>
    <w:rsid w:val="006C4BE5"/>
    <w:rsid w:val="006C7FF2"/>
    <w:rsid w:val="006D5041"/>
    <w:rsid w:val="006E0929"/>
    <w:rsid w:val="006F1D40"/>
    <w:rsid w:val="006F1EEB"/>
    <w:rsid w:val="006F25B9"/>
    <w:rsid w:val="006F2669"/>
    <w:rsid w:val="006F4E57"/>
    <w:rsid w:val="0070388D"/>
    <w:rsid w:val="00705A48"/>
    <w:rsid w:val="007067AC"/>
    <w:rsid w:val="007109B5"/>
    <w:rsid w:val="00710E03"/>
    <w:rsid w:val="00711273"/>
    <w:rsid w:val="007129D3"/>
    <w:rsid w:val="00716C92"/>
    <w:rsid w:val="00716FB0"/>
    <w:rsid w:val="00723064"/>
    <w:rsid w:val="007310E2"/>
    <w:rsid w:val="00732DD2"/>
    <w:rsid w:val="007336A3"/>
    <w:rsid w:val="00733C01"/>
    <w:rsid w:val="00735793"/>
    <w:rsid w:val="00740B2D"/>
    <w:rsid w:val="0074545A"/>
    <w:rsid w:val="0075072C"/>
    <w:rsid w:val="007533FA"/>
    <w:rsid w:val="007555D1"/>
    <w:rsid w:val="00755F86"/>
    <w:rsid w:val="0076129A"/>
    <w:rsid w:val="00764BD2"/>
    <w:rsid w:val="007727E9"/>
    <w:rsid w:val="00785A7C"/>
    <w:rsid w:val="0079245D"/>
    <w:rsid w:val="00795877"/>
    <w:rsid w:val="007A2F85"/>
    <w:rsid w:val="007A44FE"/>
    <w:rsid w:val="007A4B8D"/>
    <w:rsid w:val="007C255F"/>
    <w:rsid w:val="007C5388"/>
    <w:rsid w:val="007C5FF9"/>
    <w:rsid w:val="007C6208"/>
    <w:rsid w:val="007E0C15"/>
    <w:rsid w:val="007E6CF2"/>
    <w:rsid w:val="007F093C"/>
    <w:rsid w:val="007F1F97"/>
    <w:rsid w:val="007F3D5A"/>
    <w:rsid w:val="00800E46"/>
    <w:rsid w:val="00801768"/>
    <w:rsid w:val="00806DD1"/>
    <w:rsid w:val="008079B8"/>
    <w:rsid w:val="0081011D"/>
    <w:rsid w:val="00811FAD"/>
    <w:rsid w:val="00816E70"/>
    <w:rsid w:val="00820236"/>
    <w:rsid w:val="00821934"/>
    <w:rsid w:val="00823B28"/>
    <w:rsid w:val="008348A4"/>
    <w:rsid w:val="008411B1"/>
    <w:rsid w:val="008456D6"/>
    <w:rsid w:val="00846916"/>
    <w:rsid w:val="00857AD7"/>
    <w:rsid w:val="008659C2"/>
    <w:rsid w:val="00873578"/>
    <w:rsid w:val="00875E1B"/>
    <w:rsid w:val="00881B69"/>
    <w:rsid w:val="00887641"/>
    <w:rsid w:val="00894447"/>
    <w:rsid w:val="00894844"/>
    <w:rsid w:val="008959C0"/>
    <w:rsid w:val="00896BEA"/>
    <w:rsid w:val="008A2B68"/>
    <w:rsid w:val="008A2D3D"/>
    <w:rsid w:val="008A444F"/>
    <w:rsid w:val="008A5013"/>
    <w:rsid w:val="008A5BEE"/>
    <w:rsid w:val="008B01BE"/>
    <w:rsid w:val="008B4086"/>
    <w:rsid w:val="008B48D5"/>
    <w:rsid w:val="008B7689"/>
    <w:rsid w:val="008C00CD"/>
    <w:rsid w:val="008C12DC"/>
    <w:rsid w:val="008C4FD6"/>
    <w:rsid w:val="008C5EA8"/>
    <w:rsid w:val="008D1C2E"/>
    <w:rsid w:val="008D3003"/>
    <w:rsid w:val="008D3DFD"/>
    <w:rsid w:val="008D60A9"/>
    <w:rsid w:val="008D7098"/>
    <w:rsid w:val="008D7719"/>
    <w:rsid w:val="008E1D6D"/>
    <w:rsid w:val="008E766D"/>
    <w:rsid w:val="008F07EB"/>
    <w:rsid w:val="008F2B27"/>
    <w:rsid w:val="008F3030"/>
    <w:rsid w:val="008F352B"/>
    <w:rsid w:val="008F5641"/>
    <w:rsid w:val="008F58F4"/>
    <w:rsid w:val="008F5AE8"/>
    <w:rsid w:val="00905894"/>
    <w:rsid w:val="00906A89"/>
    <w:rsid w:val="00906C71"/>
    <w:rsid w:val="00912C6E"/>
    <w:rsid w:val="009222D2"/>
    <w:rsid w:val="00922717"/>
    <w:rsid w:val="00926821"/>
    <w:rsid w:val="00930B23"/>
    <w:rsid w:val="00931B7B"/>
    <w:rsid w:val="00940DE5"/>
    <w:rsid w:val="00942E0E"/>
    <w:rsid w:val="00945BCC"/>
    <w:rsid w:val="00955974"/>
    <w:rsid w:val="00962CC4"/>
    <w:rsid w:val="0096357D"/>
    <w:rsid w:val="00964537"/>
    <w:rsid w:val="009665D2"/>
    <w:rsid w:val="009733AF"/>
    <w:rsid w:val="00980257"/>
    <w:rsid w:val="00982FD1"/>
    <w:rsid w:val="00983B69"/>
    <w:rsid w:val="0098462D"/>
    <w:rsid w:val="00985F75"/>
    <w:rsid w:val="00986783"/>
    <w:rsid w:val="009901D4"/>
    <w:rsid w:val="00994B92"/>
    <w:rsid w:val="009A28A0"/>
    <w:rsid w:val="009A2E99"/>
    <w:rsid w:val="009A3435"/>
    <w:rsid w:val="009A3BCF"/>
    <w:rsid w:val="009A477B"/>
    <w:rsid w:val="009B0DCB"/>
    <w:rsid w:val="009C18E5"/>
    <w:rsid w:val="009C20F2"/>
    <w:rsid w:val="009C3783"/>
    <w:rsid w:val="009C4224"/>
    <w:rsid w:val="009C46F1"/>
    <w:rsid w:val="009C7FC3"/>
    <w:rsid w:val="009D1874"/>
    <w:rsid w:val="009D1B63"/>
    <w:rsid w:val="009E2B52"/>
    <w:rsid w:val="009E63D8"/>
    <w:rsid w:val="009E77A2"/>
    <w:rsid w:val="009F2A61"/>
    <w:rsid w:val="009F41D6"/>
    <w:rsid w:val="009F5657"/>
    <w:rsid w:val="009F6F65"/>
    <w:rsid w:val="00A0054A"/>
    <w:rsid w:val="00A0298A"/>
    <w:rsid w:val="00A10316"/>
    <w:rsid w:val="00A11D5F"/>
    <w:rsid w:val="00A120E0"/>
    <w:rsid w:val="00A12179"/>
    <w:rsid w:val="00A2185B"/>
    <w:rsid w:val="00A2197A"/>
    <w:rsid w:val="00A219B1"/>
    <w:rsid w:val="00A2378F"/>
    <w:rsid w:val="00A25883"/>
    <w:rsid w:val="00A376BD"/>
    <w:rsid w:val="00A4107F"/>
    <w:rsid w:val="00A42BDD"/>
    <w:rsid w:val="00A47FA5"/>
    <w:rsid w:val="00A50C77"/>
    <w:rsid w:val="00A51EA5"/>
    <w:rsid w:val="00A65E22"/>
    <w:rsid w:val="00A662B2"/>
    <w:rsid w:val="00A66B38"/>
    <w:rsid w:val="00A67A44"/>
    <w:rsid w:val="00A72450"/>
    <w:rsid w:val="00A73245"/>
    <w:rsid w:val="00A75912"/>
    <w:rsid w:val="00A75A9A"/>
    <w:rsid w:val="00A877FD"/>
    <w:rsid w:val="00A90377"/>
    <w:rsid w:val="00A90AA1"/>
    <w:rsid w:val="00A915D5"/>
    <w:rsid w:val="00A924EF"/>
    <w:rsid w:val="00A93371"/>
    <w:rsid w:val="00A978F9"/>
    <w:rsid w:val="00A97C1F"/>
    <w:rsid w:val="00AA2F13"/>
    <w:rsid w:val="00AA411E"/>
    <w:rsid w:val="00AB3540"/>
    <w:rsid w:val="00AB5542"/>
    <w:rsid w:val="00AB7A8C"/>
    <w:rsid w:val="00AD0344"/>
    <w:rsid w:val="00AD1309"/>
    <w:rsid w:val="00AD1F96"/>
    <w:rsid w:val="00AD2E16"/>
    <w:rsid w:val="00AD594D"/>
    <w:rsid w:val="00AF0236"/>
    <w:rsid w:val="00AF23F6"/>
    <w:rsid w:val="00AF2F48"/>
    <w:rsid w:val="00AF74CF"/>
    <w:rsid w:val="00B00B49"/>
    <w:rsid w:val="00B0447C"/>
    <w:rsid w:val="00B07739"/>
    <w:rsid w:val="00B13EF4"/>
    <w:rsid w:val="00B204E5"/>
    <w:rsid w:val="00B225BE"/>
    <w:rsid w:val="00B23925"/>
    <w:rsid w:val="00B24283"/>
    <w:rsid w:val="00B2725F"/>
    <w:rsid w:val="00B276C7"/>
    <w:rsid w:val="00B27B78"/>
    <w:rsid w:val="00B3464F"/>
    <w:rsid w:val="00B407C3"/>
    <w:rsid w:val="00B41C03"/>
    <w:rsid w:val="00B468AE"/>
    <w:rsid w:val="00B46A49"/>
    <w:rsid w:val="00B527E1"/>
    <w:rsid w:val="00B654C0"/>
    <w:rsid w:val="00B71EC8"/>
    <w:rsid w:val="00B738FA"/>
    <w:rsid w:val="00B73F81"/>
    <w:rsid w:val="00B91CC8"/>
    <w:rsid w:val="00B968F6"/>
    <w:rsid w:val="00B96A6D"/>
    <w:rsid w:val="00BA49F6"/>
    <w:rsid w:val="00BA666C"/>
    <w:rsid w:val="00BA7C98"/>
    <w:rsid w:val="00BB18A1"/>
    <w:rsid w:val="00BB1C08"/>
    <w:rsid w:val="00BB46DA"/>
    <w:rsid w:val="00BB5724"/>
    <w:rsid w:val="00BB77C5"/>
    <w:rsid w:val="00BC0A8A"/>
    <w:rsid w:val="00BC22E2"/>
    <w:rsid w:val="00BC4341"/>
    <w:rsid w:val="00BC5181"/>
    <w:rsid w:val="00BC6771"/>
    <w:rsid w:val="00BD1326"/>
    <w:rsid w:val="00BD2489"/>
    <w:rsid w:val="00BD3F20"/>
    <w:rsid w:val="00BE1B53"/>
    <w:rsid w:val="00BE21B8"/>
    <w:rsid w:val="00BE4172"/>
    <w:rsid w:val="00BE4F04"/>
    <w:rsid w:val="00BE5BA4"/>
    <w:rsid w:val="00BE5EB4"/>
    <w:rsid w:val="00BE6C31"/>
    <w:rsid w:val="00BE797F"/>
    <w:rsid w:val="00BF0481"/>
    <w:rsid w:val="00BF2C47"/>
    <w:rsid w:val="00C01AC5"/>
    <w:rsid w:val="00C02BF3"/>
    <w:rsid w:val="00C0311B"/>
    <w:rsid w:val="00C03722"/>
    <w:rsid w:val="00C100CD"/>
    <w:rsid w:val="00C10BD1"/>
    <w:rsid w:val="00C13011"/>
    <w:rsid w:val="00C13092"/>
    <w:rsid w:val="00C133A1"/>
    <w:rsid w:val="00C22ADA"/>
    <w:rsid w:val="00C234C2"/>
    <w:rsid w:val="00C26C0A"/>
    <w:rsid w:val="00C30BD2"/>
    <w:rsid w:val="00C32B2E"/>
    <w:rsid w:val="00C34889"/>
    <w:rsid w:val="00C37AF1"/>
    <w:rsid w:val="00C4178D"/>
    <w:rsid w:val="00C53143"/>
    <w:rsid w:val="00C57547"/>
    <w:rsid w:val="00C62732"/>
    <w:rsid w:val="00C709F9"/>
    <w:rsid w:val="00C714A5"/>
    <w:rsid w:val="00C7201E"/>
    <w:rsid w:val="00C720C6"/>
    <w:rsid w:val="00C812AF"/>
    <w:rsid w:val="00C90756"/>
    <w:rsid w:val="00C932C4"/>
    <w:rsid w:val="00C94BA0"/>
    <w:rsid w:val="00CA0498"/>
    <w:rsid w:val="00CA572F"/>
    <w:rsid w:val="00CA6133"/>
    <w:rsid w:val="00CA7E4C"/>
    <w:rsid w:val="00CB1CB0"/>
    <w:rsid w:val="00CC0E96"/>
    <w:rsid w:val="00CC2DFC"/>
    <w:rsid w:val="00CC3605"/>
    <w:rsid w:val="00CC41FE"/>
    <w:rsid w:val="00CC42F9"/>
    <w:rsid w:val="00CD0019"/>
    <w:rsid w:val="00CD0857"/>
    <w:rsid w:val="00CD3A49"/>
    <w:rsid w:val="00CD446C"/>
    <w:rsid w:val="00CD58E5"/>
    <w:rsid w:val="00CE400A"/>
    <w:rsid w:val="00CF2E17"/>
    <w:rsid w:val="00CF2FA2"/>
    <w:rsid w:val="00CF4C00"/>
    <w:rsid w:val="00CF655F"/>
    <w:rsid w:val="00D00B34"/>
    <w:rsid w:val="00D030EA"/>
    <w:rsid w:val="00D100D1"/>
    <w:rsid w:val="00D16CC8"/>
    <w:rsid w:val="00D20910"/>
    <w:rsid w:val="00D24833"/>
    <w:rsid w:val="00D4051F"/>
    <w:rsid w:val="00D41504"/>
    <w:rsid w:val="00D43ACE"/>
    <w:rsid w:val="00D43D82"/>
    <w:rsid w:val="00D44E5C"/>
    <w:rsid w:val="00D47E6E"/>
    <w:rsid w:val="00D53823"/>
    <w:rsid w:val="00D5729A"/>
    <w:rsid w:val="00D57AD0"/>
    <w:rsid w:val="00D7484D"/>
    <w:rsid w:val="00D74E8E"/>
    <w:rsid w:val="00D86197"/>
    <w:rsid w:val="00D86261"/>
    <w:rsid w:val="00D870BF"/>
    <w:rsid w:val="00D90F7A"/>
    <w:rsid w:val="00D9142C"/>
    <w:rsid w:val="00D93CBE"/>
    <w:rsid w:val="00D94738"/>
    <w:rsid w:val="00D97C52"/>
    <w:rsid w:val="00DA250C"/>
    <w:rsid w:val="00DA7049"/>
    <w:rsid w:val="00DC1A5C"/>
    <w:rsid w:val="00DC4D1A"/>
    <w:rsid w:val="00DD1F27"/>
    <w:rsid w:val="00DD23E9"/>
    <w:rsid w:val="00DD464F"/>
    <w:rsid w:val="00DD65A9"/>
    <w:rsid w:val="00DE3370"/>
    <w:rsid w:val="00DE4585"/>
    <w:rsid w:val="00DE4B06"/>
    <w:rsid w:val="00DE61BB"/>
    <w:rsid w:val="00DF0D82"/>
    <w:rsid w:val="00E0358D"/>
    <w:rsid w:val="00E05CB1"/>
    <w:rsid w:val="00E1036F"/>
    <w:rsid w:val="00E12F3F"/>
    <w:rsid w:val="00E15CBE"/>
    <w:rsid w:val="00E23CBB"/>
    <w:rsid w:val="00E23FD5"/>
    <w:rsid w:val="00E3376A"/>
    <w:rsid w:val="00E338CA"/>
    <w:rsid w:val="00E33F01"/>
    <w:rsid w:val="00E413E0"/>
    <w:rsid w:val="00E419B4"/>
    <w:rsid w:val="00E41B6D"/>
    <w:rsid w:val="00E4368F"/>
    <w:rsid w:val="00E44171"/>
    <w:rsid w:val="00E451D1"/>
    <w:rsid w:val="00E465D3"/>
    <w:rsid w:val="00E533F3"/>
    <w:rsid w:val="00E5468C"/>
    <w:rsid w:val="00E605F6"/>
    <w:rsid w:val="00E64DF0"/>
    <w:rsid w:val="00E66FDF"/>
    <w:rsid w:val="00E7731E"/>
    <w:rsid w:val="00E77C09"/>
    <w:rsid w:val="00E82EAC"/>
    <w:rsid w:val="00E8722E"/>
    <w:rsid w:val="00E958ED"/>
    <w:rsid w:val="00EA2542"/>
    <w:rsid w:val="00EA2633"/>
    <w:rsid w:val="00EB5A9F"/>
    <w:rsid w:val="00EB7A00"/>
    <w:rsid w:val="00EC01BC"/>
    <w:rsid w:val="00EC0853"/>
    <w:rsid w:val="00EC74D7"/>
    <w:rsid w:val="00EC75E7"/>
    <w:rsid w:val="00ED3F58"/>
    <w:rsid w:val="00ED4EFF"/>
    <w:rsid w:val="00EE370F"/>
    <w:rsid w:val="00EE4139"/>
    <w:rsid w:val="00EE4D50"/>
    <w:rsid w:val="00EE5475"/>
    <w:rsid w:val="00EF001E"/>
    <w:rsid w:val="00EF52F5"/>
    <w:rsid w:val="00F00251"/>
    <w:rsid w:val="00F014EF"/>
    <w:rsid w:val="00F06C93"/>
    <w:rsid w:val="00F06EF5"/>
    <w:rsid w:val="00F105B0"/>
    <w:rsid w:val="00F118DA"/>
    <w:rsid w:val="00F14233"/>
    <w:rsid w:val="00F1485A"/>
    <w:rsid w:val="00F20F33"/>
    <w:rsid w:val="00F276E1"/>
    <w:rsid w:val="00F27D9F"/>
    <w:rsid w:val="00F3274D"/>
    <w:rsid w:val="00F34CDB"/>
    <w:rsid w:val="00F40873"/>
    <w:rsid w:val="00F413B3"/>
    <w:rsid w:val="00F429EC"/>
    <w:rsid w:val="00F4534A"/>
    <w:rsid w:val="00F47C4F"/>
    <w:rsid w:val="00F5406E"/>
    <w:rsid w:val="00F542F6"/>
    <w:rsid w:val="00F617F3"/>
    <w:rsid w:val="00F61A31"/>
    <w:rsid w:val="00F61E69"/>
    <w:rsid w:val="00F62A8D"/>
    <w:rsid w:val="00F64704"/>
    <w:rsid w:val="00F656C2"/>
    <w:rsid w:val="00F71177"/>
    <w:rsid w:val="00F73E12"/>
    <w:rsid w:val="00F75F60"/>
    <w:rsid w:val="00F769DE"/>
    <w:rsid w:val="00F76D80"/>
    <w:rsid w:val="00F872FC"/>
    <w:rsid w:val="00F968EF"/>
    <w:rsid w:val="00FA0E98"/>
    <w:rsid w:val="00FA6FF8"/>
    <w:rsid w:val="00FA79B6"/>
    <w:rsid w:val="00FA7BDF"/>
    <w:rsid w:val="00FB2369"/>
    <w:rsid w:val="00FB4300"/>
    <w:rsid w:val="00FB44C9"/>
    <w:rsid w:val="00FC11E0"/>
    <w:rsid w:val="00FC15C5"/>
    <w:rsid w:val="00FD0947"/>
    <w:rsid w:val="00FD11C1"/>
    <w:rsid w:val="00FD3E93"/>
    <w:rsid w:val="00FE0509"/>
    <w:rsid w:val="00FE0A44"/>
    <w:rsid w:val="00FE0E4D"/>
    <w:rsid w:val="00FE2B6C"/>
    <w:rsid w:val="00FE47A8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1B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11B"/>
    <w:rPr>
      <w:rFonts w:ascii="Symbol" w:hAnsi="Symbol" w:cs="OpenSymbol"/>
    </w:rPr>
  </w:style>
  <w:style w:type="character" w:customStyle="1" w:styleId="Absatz-Standardschriftart">
    <w:name w:val="Absatz-Standardschriftart"/>
    <w:rsid w:val="00C0311B"/>
  </w:style>
  <w:style w:type="character" w:customStyle="1" w:styleId="WW-Absatz-Standardschriftart">
    <w:name w:val="WW-Absatz-Standardschriftart"/>
    <w:rsid w:val="00C0311B"/>
  </w:style>
  <w:style w:type="character" w:customStyle="1" w:styleId="WW-Absatz-Standardschriftart1">
    <w:name w:val="WW-Absatz-Standardschriftart1"/>
    <w:rsid w:val="00C0311B"/>
  </w:style>
  <w:style w:type="character" w:customStyle="1" w:styleId="WW-Absatz-Standardschriftart11">
    <w:name w:val="WW-Absatz-Standardschriftart11"/>
    <w:rsid w:val="00C0311B"/>
  </w:style>
  <w:style w:type="character" w:customStyle="1" w:styleId="WW-Absatz-Standardschriftart111">
    <w:name w:val="WW-Absatz-Standardschriftart111"/>
    <w:rsid w:val="00C0311B"/>
  </w:style>
  <w:style w:type="character" w:customStyle="1" w:styleId="WW-Absatz-Standardschriftart1111">
    <w:name w:val="WW-Absatz-Standardschriftart1111"/>
    <w:rsid w:val="00C0311B"/>
  </w:style>
  <w:style w:type="character" w:customStyle="1" w:styleId="WW-Absatz-Standardschriftart11111">
    <w:name w:val="WW-Absatz-Standardschriftart11111"/>
    <w:rsid w:val="00C0311B"/>
  </w:style>
  <w:style w:type="character" w:customStyle="1" w:styleId="Bullets">
    <w:name w:val="Bullets"/>
    <w:rsid w:val="00C031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311B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C0311B"/>
    <w:pPr>
      <w:spacing w:after="120"/>
    </w:pPr>
  </w:style>
  <w:style w:type="paragraph" w:styleId="List">
    <w:name w:val="List"/>
    <w:basedOn w:val="BodyText"/>
    <w:rsid w:val="00C0311B"/>
  </w:style>
  <w:style w:type="paragraph" w:styleId="Caption">
    <w:name w:val="caption"/>
    <w:basedOn w:val="Normal"/>
    <w:qFormat/>
    <w:rsid w:val="00C03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311B"/>
    <w:pPr>
      <w:suppressLineNumbers/>
    </w:pPr>
  </w:style>
  <w:style w:type="paragraph" w:customStyle="1" w:styleId="TableContents">
    <w:name w:val="Table Contents"/>
    <w:basedOn w:val="Normal"/>
    <w:rsid w:val="00C0311B"/>
    <w:pPr>
      <w:suppressLineNumbers/>
    </w:pPr>
  </w:style>
  <w:style w:type="paragraph" w:customStyle="1" w:styleId="TableHeading">
    <w:name w:val="Table Heading"/>
    <w:basedOn w:val="TableContents"/>
    <w:rsid w:val="00C0311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44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4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44"/>
    <w:rPr>
      <w:rFonts w:eastAsia="SimSun"/>
      <w:sz w:val="24"/>
      <w:szCs w:val="24"/>
      <w:lang w:eastAsia="ar-SA"/>
    </w:rPr>
  </w:style>
  <w:style w:type="paragraph" w:customStyle="1" w:styleId="CM5">
    <w:name w:val="CM5"/>
    <w:basedOn w:val="Normal"/>
    <w:next w:val="Normal"/>
    <w:uiPriority w:val="99"/>
    <w:rsid w:val="00AD0344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44"/>
    <w:pPr>
      <w:suppressAutoHyphens w:val="0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4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37AD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4956"/>
    <w:rPr>
      <w:rFonts w:eastAsia="SimSun"/>
      <w:sz w:val="24"/>
      <w:szCs w:val="24"/>
      <w:lang w:eastAsia="ar-SA"/>
    </w:rPr>
  </w:style>
  <w:style w:type="table" w:styleId="MediumGrid2-Accent1">
    <w:name w:val="Medium Grid 2 Accent 1"/>
    <w:basedOn w:val="TableNormal"/>
    <w:uiPriority w:val="68"/>
    <w:rsid w:val="002772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Shading1">
    <w:name w:val="Light Shading1"/>
    <w:basedOn w:val="TableNormal"/>
    <w:uiPriority w:val="60"/>
    <w:rsid w:val="00FE0A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36F"/>
    <w:pPr>
      <w:suppressAutoHyphens/>
    </w:pPr>
    <w:rPr>
      <w:rFonts w:eastAsia="SimSun"/>
      <w:b/>
      <w:bCs/>
      <w:color w:val="auto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36F"/>
    <w:rPr>
      <w:rFonts w:eastAsia="SimSun"/>
      <w:b/>
      <w:bCs/>
      <w:color w:val="000000"/>
      <w:lang w:eastAsia="ar-SA"/>
    </w:rPr>
  </w:style>
  <w:style w:type="paragraph" w:customStyle="1" w:styleId="Default">
    <w:name w:val="Default"/>
    <w:rsid w:val="001352A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2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693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423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575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920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29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1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9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3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632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AE8D-89FA-4CA8-99CB-6132FFFE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NOAA / NESDIS / STAR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N.S.</dc:creator>
  <cp:lastModifiedBy>knieman</cp:lastModifiedBy>
  <cp:revision>2</cp:revision>
  <cp:lastPrinted>2011-08-23T17:32:00Z</cp:lastPrinted>
  <dcterms:created xsi:type="dcterms:W3CDTF">2014-02-24T16:27:00Z</dcterms:created>
  <dcterms:modified xsi:type="dcterms:W3CDTF">2014-02-24T16:27:00Z</dcterms:modified>
</cp:coreProperties>
</file>